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31CA1" w14:textId="6A8F7835" w:rsidR="0041242D" w:rsidRPr="00E90791" w:rsidRDefault="00992C5A" w:rsidP="007507DE">
      <w:pPr>
        <w:pStyle w:val="Titel"/>
      </w:pPr>
      <w:r>
        <w:t xml:space="preserve">Literatur </w:t>
      </w:r>
      <w:r w:rsidR="008419C0">
        <w:t>zum digitalen Lehren und Lernen</w:t>
      </w:r>
    </w:p>
    <w:p w14:paraId="4DC3E3AE" w14:textId="77777777" w:rsidR="00127B02" w:rsidRDefault="002D181E" w:rsidP="00127B02">
      <w:pPr>
        <w:pStyle w:val="Untertitel"/>
      </w:pPr>
      <w:r w:rsidRPr="002D181E">
        <w:t>Prof. Dr. Liudvika Leisyte</w:t>
      </w:r>
    </w:p>
    <w:p w14:paraId="2F49AEAA" w14:textId="77777777" w:rsidR="00127B02" w:rsidRDefault="002D181E" w:rsidP="00127B02">
      <w:pPr>
        <w:pStyle w:val="Untertitel"/>
        <w:spacing w:before="120"/>
      </w:pPr>
      <w:r w:rsidRPr="002D181E">
        <w:t>S</w:t>
      </w:r>
      <w:r>
        <w:t>ude Peksen</w:t>
      </w:r>
    </w:p>
    <w:p w14:paraId="5B39E277" w14:textId="2A9A58F5" w:rsidR="008B1060" w:rsidRDefault="002D181E" w:rsidP="00127B02">
      <w:pPr>
        <w:pStyle w:val="Untertitel"/>
        <w:spacing w:before="120"/>
      </w:pPr>
      <w:r>
        <w:t>Katrin Stolz</w:t>
      </w:r>
    </w:p>
    <w:p w14:paraId="7F69F2F7" w14:textId="642CA3D9" w:rsidR="002703FE" w:rsidRDefault="00F56FD6" w:rsidP="00B978F2">
      <w:pPr>
        <w:pStyle w:val="Einleitung"/>
      </w:pPr>
      <w:r>
        <w:t>Diese</w:t>
      </w:r>
      <w:r w:rsidR="001C3D45">
        <w:t xml:space="preserve"> Sammlung internationaler </w:t>
      </w:r>
      <w:r w:rsidR="007C7816">
        <w:t>L</w:t>
      </w:r>
      <w:r w:rsidR="001C3D45">
        <w:t xml:space="preserve">iteratur </w:t>
      </w:r>
      <w:r w:rsidR="00025F48">
        <w:t>umfasst</w:t>
      </w:r>
      <w:r w:rsidR="0073509F">
        <w:t xml:space="preserve"> </w:t>
      </w:r>
      <w:r w:rsidR="00025F48">
        <w:t>Praxisberichte</w:t>
      </w:r>
      <w:r w:rsidR="0049725E">
        <w:t>, Leitfäden</w:t>
      </w:r>
      <w:r w:rsidR="005913DB">
        <w:t xml:space="preserve"> und Forschungsbefunde</w:t>
      </w:r>
      <w:r w:rsidR="0073509F">
        <w:t xml:space="preserve"> zum </w:t>
      </w:r>
      <w:r w:rsidR="00025F48">
        <w:t>digitalen</w:t>
      </w:r>
      <w:r>
        <w:t xml:space="preserve"> Lehren und Lernen</w:t>
      </w:r>
      <w:r w:rsidR="00025F48">
        <w:t xml:space="preserve"> an Hochschulen</w:t>
      </w:r>
      <w:r>
        <w:t xml:space="preserve">. </w:t>
      </w:r>
      <w:r w:rsidR="000603A8">
        <w:t>Lehrende und Interessierte erhalten hierbei einen Einblick in den aktuellen Wissenschaftsdiskurs sowie Anreize zur Gestaltung und Konzeptionierung der eigenen Lehre.</w:t>
      </w:r>
    </w:p>
    <w:p w14:paraId="7251529D" w14:textId="77777777" w:rsidR="00127B02" w:rsidRPr="00914B87" w:rsidRDefault="00127B02" w:rsidP="00390A34">
      <w:pPr>
        <w:pStyle w:val="KeinLeerraum"/>
        <w:spacing w:after="840"/>
        <w:jc w:val="center"/>
        <w:rPr>
          <w:i/>
          <w:iCs/>
        </w:rPr>
      </w:pPr>
      <w:r w:rsidRPr="00914B87">
        <w:rPr>
          <w:i/>
          <w:iCs/>
        </w:rPr>
        <w:t>Stand: 13.05.2020</w:t>
      </w:r>
    </w:p>
    <w:sdt>
      <w:sdtPr>
        <w:rPr>
          <w:rFonts w:eastAsiaTheme="minorHAnsi" w:cstheme="minorBidi"/>
          <w:sz w:val="22"/>
          <w:szCs w:val="22"/>
          <w:lang w:eastAsia="en-US"/>
        </w:rPr>
        <w:id w:val="-4052910"/>
        <w:docPartObj>
          <w:docPartGallery w:val="Table of Contents"/>
          <w:docPartUnique/>
        </w:docPartObj>
      </w:sdtPr>
      <w:sdtEndPr>
        <w:rPr>
          <w:b/>
          <w:bCs/>
        </w:rPr>
      </w:sdtEndPr>
      <w:sdtContent>
        <w:p w14:paraId="1E9ADB34" w14:textId="77777777" w:rsidR="00F20F05" w:rsidRDefault="00F20F05" w:rsidP="00390A34">
          <w:pPr>
            <w:pStyle w:val="Inhaltsverzeichnisberschrift"/>
          </w:pPr>
          <w:r>
            <w:t>Inhalt</w:t>
          </w:r>
        </w:p>
        <w:p w14:paraId="1597ED9F" w14:textId="1E6E5E06" w:rsidR="00390A34" w:rsidRDefault="00F20F05">
          <w:pPr>
            <w:pStyle w:val="Verzeichnis1"/>
            <w:rPr>
              <w:rFonts w:asciiTheme="minorHAnsi" w:eastAsiaTheme="minorEastAsia" w:hAnsiTheme="minorHAnsi"/>
              <w:noProof/>
              <w:lang w:eastAsia="de-DE"/>
            </w:rPr>
          </w:pPr>
          <w:r>
            <w:fldChar w:fldCharType="begin"/>
          </w:r>
          <w:r>
            <w:instrText xml:space="preserve"> TOC \o "1-3" \h \z \u </w:instrText>
          </w:r>
          <w:r>
            <w:fldChar w:fldCharType="separate"/>
          </w:r>
          <w:hyperlink w:anchor="_Toc40340435" w:history="1">
            <w:r w:rsidR="00390A34" w:rsidRPr="004315F0">
              <w:rPr>
                <w:rStyle w:val="Hyperlink"/>
                <w:noProof/>
              </w:rPr>
              <w:t>1.</w:t>
            </w:r>
            <w:r w:rsidR="00390A34">
              <w:rPr>
                <w:rFonts w:asciiTheme="minorHAnsi" w:eastAsiaTheme="minorEastAsia" w:hAnsiTheme="minorHAnsi"/>
                <w:noProof/>
                <w:lang w:eastAsia="de-DE"/>
              </w:rPr>
              <w:tab/>
            </w:r>
            <w:r w:rsidR="00390A34" w:rsidRPr="004315F0">
              <w:rPr>
                <w:rStyle w:val="Hyperlink"/>
                <w:noProof/>
              </w:rPr>
              <w:t>Praxisberichte und Leitfäden zum digitalen Lehren und Lernen</w:t>
            </w:r>
            <w:r w:rsidR="00390A34">
              <w:rPr>
                <w:noProof/>
                <w:webHidden/>
              </w:rPr>
              <w:tab/>
            </w:r>
            <w:r w:rsidR="00390A34">
              <w:rPr>
                <w:noProof/>
                <w:webHidden/>
              </w:rPr>
              <w:fldChar w:fldCharType="begin"/>
            </w:r>
            <w:r w:rsidR="00390A34">
              <w:rPr>
                <w:noProof/>
                <w:webHidden/>
              </w:rPr>
              <w:instrText xml:space="preserve"> PAGEREF _Toc40340435 \h </w:instrText>
            </w:r>
            <w:r w:rsidR="00390A34">
              <w:rPr>
                <w:noProof/>
                <w:webHidden/>
              </w:rPr>
            </w:r>
            <w:r w:rsidR="00390A34">
              <w:rPr>
                <w:noProof/>
                <w:webHidden/>
              </w:rPr>
              <w:fldChar w:fldCharType="separate"/>
            </w:r>
            <w:r w:rsidR="00980D6D">
              <w:rPr>
                <w:noProof/>
                <w:webHidden/>
              </w:rPr>
              <w:t>2</w:t>
            </w:r>
            <w:r w:rsidR="00390A34">
              <w:rPr>
                <w:noProof/>
                <w:webHidden/>
              </w:rPr>
              <w:fldChar w:fldCharType="end"/>
            </w:r>
          </w:hyperlink>
        </w:p>
        <w:p w14:paraId="00839A9F" w14:textId="52977ECE" w:rsidR="00390A34" w:rsidRDefault="0084774F">
          <w:pPr>
            <w:pStyle w:val="Verzeichnis1"/>
            <w:rPr>
              <w:rFonts w:asciiTheme="minorHAnsi" w:eastAsiaTheme="minorEastAsia" w:hAnsiTheme="minorHAnsi"/>
              <w:noProof/>
              <w:lang w:eastAsia="de-DE"/>
            </w:rPr>
          </w:pPr>
          <w:hyperlink w:anchor="_Toc40340436" w:history="1">
            <w:r w:rsidR="00390A34" w:rsidRPr="004315F0">
              <w:rPr>
                <w:rStyle w:val="Hyperlink"/>
                <w:noProof/>
              </w:rPr>
              <w:t>2.</w:t>
            </w:r>
            <w:r w:rsidR="00390A34">
              <w:rPr>
                <w:rFonts w:asciiTheme="minorHAnsi" w:eastAsiaTheme="minorEastAsia" w:hAnsiTheme="minorHAnsi"/>
                <w:noProof/>
                <w:lang w:eastAsia="de-DE"/>
              </w:rPr>
              <w:tab/>
            </w:r>
            <w:r w:rsidR="00390A34" w:rsidRPr="004315F0">
              <w:rPr>
                <w:rStyle w:val="Hyperlink"/>
                <w:noProof/>
              </w:rPr>
              <w:t>Forschungsbefunde zum digitalen Lehren und Lernen</w:t>
            </w:r>
            <w:r w:rsidR="00390A34">
              <w:rPr>
                <w:noProof/>
                <w:webHidden/>
              </w:rPr>
              <w:tab/>
            </w:r>
            <w:r w:rsidR="00390A34">
              <w:rPr>
                <w:noProof/>
                <w:webHidden/>
              </w:rPr>
              <w:fldChar w:fldCharType="begin"/>
            </w:r>
            <w:r w:rsidR="00390A34">
              <w:rPr>
                <w:noProof/>
                <w:webHidden/>
              </w:rPr>
              <w:instrText xml:space="preserve"> PAGEREF _Toc40340436 \h </w:instrText>
            </w:r>
            <w:r w:rsidR="00390A34">
              <w:rPr>
                <w:noProof/>
                <w:webHidden/>
              </w:rPr>
            </w:r>
            <w:r w:rsidR="00390A34">
              <w:rPr>
                <w:noProof/>
                <w:webHidden/>
              </w:rPr>
              <w:fldChar w:fldCharType="separate"/>
            </w:r>
            <w:r w:rsidR="00980D6D">
              <w:rPr>
                <w:noProof/>
                <w:webHidden/>
              </w:rPr>
              <w:t>3</w:t>
            </w:r>
            <w:r w:rsidR="00390A34">
              <w:rPr>
                <w:noProof/>
                <w:webHidden/>
              </w:rPr>
              <w:fldChar w:fldCharType="end"/>
            </w:r>
          </w:hyperlink>
        </w:p>
        <w:p w14:paraId="7ED3B077" w14:textId="53CF7F88" w:rsidR="00F20F05" w:rsidRDefault="00F20F05">
          <w:r>
            <w:rPr>
              <w:b/>
              <w:bCs/>
            </w:rPr>
            <w:fldChar w:fldCharType="end"/>
          </w:r>
        </w:p>
      </w:sdtContent>
    </w:sdt>
    <w:p w14:paraId="33BB402D" w14:textId="4CFE7893" w:rsidR="00BA1EF7" w:rsidRPr="00CC31C8" w:rsidRDefault="001D487A" w:rsidP="00DA1F97">
      <w:pPr>
        <w:pStyle w:val="berschrift1"/>
      </w:pPr>
      <w:bookmarkStart w:id="0" w:name="_Toc40340435"/>
      <w:r>
        <w:lastRenderedPageBreak/>
        <w:t>Praxis</w:t>
      </w:r>
      <w:r w:rsidR="00CA020E">
        <w:t>berichte und Leitfäden zum</w:t>
      </w:r>
      <w:r>
        <w:t xml:space="preserve"> digitalen Lehren und Lernen</w:t>
      </w:r>
      <w:bookmarkEnd w:id="0"/>
    </w:p>
    <w:p w14:paraId="1642F39B" w14:textId="3EF97DBA" w:rsidR="00BA1EF7" w:rsidRPr="00CC451D" w:rsidRDefault="004A3DB4" w:rsidP="004B73BF">
      <w:pPr>
        <w:pStyle w:val="Literaturhinweisdt"/>
        <w:keepNext/>
      </w:pPr>
      <w:r w:rsidRPr="00CC451D">
        <w:t xml:space="preserve">Bartels, M., &amp; Lübcke, E. (2020). </w:t>
      </w:r>
      <w:r w:rsidRPr="00565D73">
        <w:rPr>
          <w:i/>
          <w:iCs/>
        </w:rPr>
        <w:t>Dokumentation und Transfer erfolgreicher Lehr- Lernpraxis: Wie geht das?</w:t>
      </w:r>
      <w:r w:rsidRPr="00CC451D">
        <w:t xml:space="preserve">. </w:t>
      </w:r>
      <w:r w:rsidR="00C745F4">
        <w:t xml:space="preserve">15. </w:t>
      </w:r>
      <w:r w:rsidR="002B1FED" w:rsidRPr="00CC451D">
        <w:t>Jahrestagung</w:t>
      </w:r>
      <w:r w:rsidR="002B1FED">
        <w:t xml:space="preserve"> der Gesellschaft für Hochschulforschung</w:t>
      </w:r>
      <w:r w:rsidR="00D041F0">
        <w:t>, Hamburg</w:t>
      </w:r>
      <w:r w:rsidRPr="00CC451D">
        <w:t>.</w:t>
      </w:r>
    </w:p>
    <w:p w14:paraId="2188500F" w14:textId="0CDF713E" w:rsidR="004A3DB4" w:rsidRPr="002266D7" w:rsidRDefault="004A3DB4" w:rsidP="00B978F2">
      <w:pPr>
        <w:pStyle w:val="Abstract"/>
      </w:pPr>
      <w:r w:rsidRPr="002266D7">
        <w:t>In diesem Poster wird den Fragen nachgegangen, wie gute Lehrpraxis sichtbar gemacht wird, wie Lehrende sich weiterbilden und welche Formate für den Wissenstransfer in der Hochschullehre geeignet sind. Das Projekt „StoryPool“ wird vorgestellt, in dem die Entwicklung eines kombinierten, videobasierten Formats zur Dokumentation von bewährter Lehr-Lernpraxis verfolgt wird.</w:t>
      </w:r>
    </w:p>
    <w:p w14:paraId="0574259F" w14:textId="2C4A4045" w:rsidR="008B7487" w:rsidRPr="002E1F81" w:rsidRDefault="0084774F" w:rsidP="00B978F2">
      <w:pPr>
        <w:pStyle w:val="Abstract"/>
        <w:rPr>
          <w:rStyle w:val="Hyperlink"/>
        </w:rPr>
      </w:pPr>
      <w:hyperlink r:id="rId8" w:history="1">
        <w:r w:rsidR="004A3DB4" w:rsidRPr="002E1F81">
          <w:rPr>
            <w:rStyle w:val="Hyperlink"/>
          </w:rPr>
          <w:t>Link zum Vortrag</w:t>
        </w:r>
      </w:hyperlink>
    </w:p>
    <w:p w14:paraId="53D3F3E4" w14:textId="77777777" w:rsidR="004A3DB4" w:rsidRPr="004D70C9" w:rsidRDefault="004A3DB4" w:rsidP="00DA1F97">
      <w:pPr>
        <w:pStyle w:val="Literaturhinweisengl"/>
      </w:pPr>
      <w:r w:rsidRPr="004D70C9">
        <w:t xml:space="preserve">Clark-Ibanez, M., &amp; Scott, L. (2008). Learning to teach online. </w:t>
      </w:r>
      <w:r w:rsidRPr="004D70C9">
        <w:rPr>
          <w:i/>
        </w:rPr>
        <w:t>Teaching Sociolog</w:t>
      </w:r>
      <w:r w:rsidRPr="009B6783">
        <w:rPr>
          <w:i/>
        </w:rPr>
        <w:t>y, 36</w:t>
      </w:r>
      <w:r w:rsidRPr="004D70C9">
        <w:t>(1), 34-41.</w:t>
      </w:r>
    </w:p>
    <w:p w14:paraId="05405556" w14:textId="5F80D883" w:rsidR="008B7487" w:rsidRPr="002266D7" w:rsidRDefault="00BD06AA" w:rsidP="00B978F2">
      <w:pPr>
        <w:pStyle w:val="Abstract"/>
      </w:pPr>
      <w:r>
        <w:t>Diese Studie gibt Anregungen für Lehre in Online-Formaten</w:t>
      </w:r>
      <w:r w:rsidRPr="00BD06AA">
        <w:t xml:space="preserve">, die das Engagement und Lernen </w:t>
      </w:r>
      <w:r>
        <w:t>von</w:t>
      </w:r>
      <w:r w:rsidRPr="00BD06AA">
        <w:t xml:space="preserve"> Studierenden fördern, und diskutiert Vorteile und Herausforderungen des Online-Lehrens.</w:t>
      </w:r>
    </w:p>
    <w:p w14:paraId="1016801D" w14:textId="57011824" w:rsidR="004A3DB4" w:rsidRPr="00CC451D" w:rsidRDefault="004A3DB4" w:rsidP="004B73BF">
      <w:pPr>
        <w:pStyle w:val="Literaturhinweisdt"/>
        <w:keepNext/>
      </w:pPr>
      <w:r w:rsidRPr="00CC451D">
        <w:t>Häußler, H. (</w:t>
      </w:r>
      <w:r w:rsidR="00F7069B" w:rsidRPr="00CC451D">
        <w:rPr>
          <w:rStyle w:val="field-content"/>
        </w:rPr>
        <w:t>27.03.2020</w:t>
      </w:r>
      <w:r w:rsidRPr="00CC451D">
        <w:t xml:space="preserve">). </w:t>
      </w:r>
      <w:r w:rsidRPr="00CC451D">
        <w:rPr>
          <w:i/>
        </w:rPr>
        <w:t xml:space="preserve">Digitale Lehre </w:t>
      </w:r>
      <w:r w:rsidR="001B1451" w:rsidRPr="00CC451D">
        <w:rPr>
          <w:i/>
        </w:rPr>
        <w:t>–</w:t>
      </w:r>
      <w:r w:rsidRPr="00CC451D">
        <w:rPr>
          <w:i/>
        </w:rPr>
        <w:t xml:space="preserve"> Drei mögliche Lehrszenarien</w:t>
      </w:r>
      <w:r w:rsidRPr="00CC451D">
        <w:t>. Hochschulforum Digitalisierung.</w:t>
      </w:r>
    </w:p>
    <w:p w14:paraId="16BD6BE6" w14:textId="1C8CE22C" w:rsidR="00F317B4" w:rsidRPr="002266D7" w:rsidRDefault="004A3DB4" w:rsidP="00B978F2">
      <w:pPr>
        <w:pStyle w:val="Abstract"/>
      </w:pPr>
      <w:r w:rsidRPr="002266D7">
        <w:t>Dieser</w:t>
      </w:r>
      <w:r w:rsidR="007C7816" w:rsidRPr="002266D7">
        <w:t xml:space="preserve"> praxisorientierte</w:t>
      </w:r>
      <w:r w:rsidRPr="002266D7">
        <w:t xml:space="preserve"> </w:t>
      </w:r>
      <w:r w:rsidR="001B1451" w:rsidRPr="002266D7">
        <w:t>Blog-</w:t>
      </w:r>
      <w:r w:rsidRPr="002266D7">
        <w:t xml:space="preserve">Beitrag </w:t>
      </w:r>
      <w:r w:rsidR="007C7816" w:rsidRPr="002266D7">
        <w:t>zeigt anhand von drei Lehrszenarien</w:t>
      </w:r>
      <w:r w:rsidRPr="002266D7">
        <w:t xml:space="preserve">, wie </w:t>
      </w:r>
      <w:r w:rsidR="00AE5C5E" w:rsidRPr="002266D7">
        <w:t xml:space="preserve">Hochschullehre für </w:t>
      </w:r>
      <w:r w:rsidRPr="002266D7">
        <w:t xml:space="preserve">Online-Kurse </w:t>
      </w:r>
      <w:r w:rsidR="00AE5C5E" w:rsidRPr="002266D7">
        <w:t xml:space="preserve">didaktisch und technisch </w:t>
      </w:r>
      <w:r w:rsidR="007C7816" w:rsidRPr="002266D7">
        <w:t>konzeptioniert</w:t>
      </w:r>
      <w:r w:rsidRPr="002266D7">
        <w:t xml:space="preserve"> werden </w:t>
      </w:r>
      <w:r w:rsidR="00AE5C5E" w:rsidRPr="002266D7">
        <w:t>kann</w:t>
      </w:r>
      <w:r w:rsidRPr="002266D7">
        <w:t>.</w:t>
      </w:r>
    </w:p>
    <w:p w14:paraId="4A3D9108" w14:textId="2897D7EA" w:rsidR="008B7487" w:rsidRPr="002E1F81" w:rsidRDefault="0084774F" w:rsidP="00B978F2">
      <w:pPr>
        <w:pStyle w:val="Abstract"/>
        <w:rPr>
          <w:rStyle w:val="Hyperlink"/>
        </w:rPr>
      </w:pPr>
      <w:hyperlink r:id="rId9" w:history="1">
        <w:r w:rsidR="00F317B4" w:rsidRPr="002E1F81">
          <w:rPr>
            <w:rStyle w:val="Hyperlink"/>
          </w:rPr>
          <w:t xml:space="preserve">Link zum </w:t>
        </w:r>
        <w:r w:rsidR="005324E3" w:rsidRPr="002E1F81">
          <w:rPr>
            <w:rStyle w:val="Hyperlink"/>
          </w:rPr>
          <w:t>Blog-</w:t>
        </w:r>
        <w:r w:rsidR="00F317B4" w:rsidRPr="002E1F81">
          <w:rPr>
            <w:rStyle w:val="Hyperlink"/>
          </w:rPr>
          <w:t>Beitrag</w:t>
        </w:r>
      </w:hyperlink>
    </w:p>
    <w:p w14:paraId="36F1B819" w14:textId="77777777" w:rsidR="004A3DB4" w:rsidRPr="00CC451D" w:rsidRDefault="004A3DB4" w:rsidP="00DA1F97">
      <w:pPr>
        <w:pStyle w:val="Literaturhinweisengl"/>
      </w:pPr>
      <w:r w:rsidRPr="00CC451D">
        <w:t xml:space="preserve">Little, C. B., Titarenko, L., &amp; Bergelson, M. (2005). </w:t>
      </w:r>
      <w:r w:rsidRPr="004A3DB4">
        <w:t xml:space="preserve">Creating a successful international distance-learning classroom. </w:t>
      </w:r>
      <w:r w:rsidRPr="009B6783">
        <w:rPr>
          <w:i/>
        </w:rPr>
        <w:t>Teaching Sociology, 33</w:t>
      </w:r>
      <w:r w:rsidRPr="00CC451D">
        <w:t>(4), 355-370.</w:t>
      </w:r>
    </w:p>
    <w:p w14:paraId="723068E7" w14:textId="319611A1" w:rsidR="004A3DB4" w:rsidRPr="002266D7" w:rsidRDefault="004A3DB4" w:rsidP="00B978F2">
      <w:pPr>
        <w:pStyle w:val="Abstract"/>
      </w:pPr>
      <w:r w:rsidRPr="002266D7">
        <w:t xml:space="preserve">Dieser Artikel beschreibt ein Modell für die Schaffung eines internationalen, webbasierten Fernunterrichtsraums, </w:t>
      </w:r>
      <w:r w:rsidR="00AE5C5E" w:rsidRPr="002266D7">
        <w:t xml:space="preserve">das </w:t>
      </w:r>
      <w:r w:rsidRPr="002266D7">
        <w:t xml:space="preserve">als Leitfaden </w:t>
      </w:r>
      <w:r w:rsidR="00AE5C5E" w:rsidRPr="002266D7">
        <w:t xml:space="preserve">für </w:t>
      </w:r>
      <w:r w:rsidRPr="002266D7">
        <w:t xml:space="preserve">ähnliche </w:t>
      </w:r>
      <w:r w:rsidR="00AE5C5E" w:rsidRPr="002266D7">
        <w:t>Vorhaben genutzt werden kann</w:t>
      </w:r>
      <w:r w:rsidRPr="002266D7">
        <w:t>.</w:t>
      </w:r>
    </w:p>
    <w:p w14:paraId="2AF92A63" w14:textId="4A62D8CD" w:rsidR="004A3DB4" w:rsidRPr="00CC451D" w:rsidRDefault="004A3DB4" w:rsidP="004B73BF">
      <w:pPr>
        <w:pStyle w:val="Literaturhinweisdt"/>
        <w:keepNext/>
      </w:pPr>
      <w:r w:rsidRPr="00CC451D">
        <w:t xml:space="preserve">Rockenfeller, R. (2020). </w:t>
      </w:r>
      <w:r w:rsidRPr="00983CF9">
        <w:rPr>
          <w:lang w:val="en-GB"/>
        </w:rPr>
        <w:t>How to invert your classroom</w:t>
      </w:r>
      <w:r w:rsidRPr="00CC451D">
        <w:t xml:space="preserve">: Ein Leitfaden zur konkreten Umsetzung video-basierter Hochschullehre (nicht nur) in Mathematik. </w:t>
      </w:r>
      <w:r w:rsidR="000472C8" w:rsidRPr="009B6783">
        <w:rPr>
          <w:i/>
          <w:iCs/>
        </w:rPr>
        <w:t>Neues Handbuch Hochschullehre</w:t>
      </w:r>
      <w:r w:rsidR="007D5A91" w:rsidRPr="00CC451D">
        <w:t xml:space="preserve">, Griffmarke </w:t>
      </w:r>
      <w:r w:rsidR="007D5A91" w:rsidRPr="00CC451D">
        <w:rPr>
          <w:rStyle w:val="ng-binding"/>
        </w:rPr>
        <w:t>D 3.38</w:t>
      </w:r>
      <w:r w:rsidR="000472C8" w:rsidRPr="00CC451D">
        <w:t>.</w:t>
      </w:r>
    </w:p>
    <w:p w14:paraId="33DBD8C7" w14:textId="038EBD9D" w:rsidR="004A3DB4" w:rsidRPr="002266D7" w:rsidRDefault="004A3DB4" w:rsidP="00B978F2">
      <w:pPr>
        <w:pStyle w:val="Abstract"/>
      </w:pPr>
      <w:r w:rsidRPr="002266D7">
        <w:t>Dieser Beitrag soll für einen Wechsel hin zu einem „</w:t>
      </w:r>
      <w:r w:rsidRPr="00983CF9">
        <w:rPr>
          <w:lang w:val="en-GB"/>
        </w:rPr>
        <w:t>Inverted Classroom Model</w:t>
      </w:r>
      <w:r w:rsidRPr="002266D7">
        <w:t xml:space="preserve">“ (ICM) </w:t>
      </w:r>
      <w:r w:rsidR="004952DC" w:rsidRPr="002266D7">
        <w:t>motivieren und gibt</w:t>
      </w:r>
      <w:r w:rsidRPr="002266D7">
        <w:t xml:space="preserve"> Tipps, Tricks und Beispiele aus persönlicher Erfahrung sowie Literaturwissen, um diesen auch zu bewältigen.</w:t>
      </w:r>
    </w:p>
    <w:p w14:paraId="160CEEC1" w14:textId="4939EE39" w:rsidR="009203A0" w:rsidRPr="00983CF9" w:rsidRDefault="0084774F" w:rsidP="00B978F2">
      <w:pPr>
        <w:pStyle w:val="Abstract"/>
        <w:rPr>
          <w:rStyle w:val="Hyperlink"/>
        </w:rPr>
      </w:pPr>
      <w:hyperlink r:id="rId10" w:anchor="/Beitragsdetailansicht/256/2850/How-to-invert-your-classroom%253A-Ein-Leitfaden-zur-konkreten-Umsetzung-video-basierter-Hochschullehre-(nicht-nur)-in-Mathematik" w:history="1">
        <w:r w:rsidR="009203A0" w:rsidRPr="00983CF9">
          <w:rPr>
            <w:rStyle w:val="Hyperlink"/>
          </w:rPr>
          <w:t>Link zum Beitrag</w:t>
        </w:r>
      </w:hyperlink>
    </w:p>
    <w:p w14:paraId="141828B5" w14:textId="77777777" w:rsidR="004A3DB4" w:rsidRPr="00983CF9" w:rsidRDefault="004A3DB4" w:rsidP="00DA1F97">
      <w:pPr>
        <w:pStyle w:val="Literaturhinweisengl"/>
      </w:pPr>
      <w:r w:rsidRPr="00983CF9">
        <w:t xml:space="preserve">Singletary, K., Messineo, M., &amp; Rafalow, M. (2020). </w:t>
      </w:r>
      <w:r w:rsidRPr="009B6783">
        <w:rPr>
          <w:i/>
          <w:iCs/>
        </w:rPr>
        <w:t>Online Teaching</w:t>
      </w:r>
      <w:r w:rsidRPr="00983CF9">
        <w:t>. American Sociological Association (ASA).</w:t>
      </w:r>
    </w:p>
    <w:p w14:paraId="7DDE5622" w14:textId="68F38131" w:rsidR="004A3DB4" w:rsidRPr="002266D7" w:rsidRDefault="004A3DB4" w:rsidP="00B978F2">
      <w:pPr>
        <w:pStyle w:val="Abstract"/>
      </w:pPr>
      <w:r w:rsidRPr="002266D7">
        <w:t xml:space="preserve">In diesem Panel werden Strategien zur Bewältigung des Übergangs </w:t>
      </w:r>
      <w:r w:rsidR="004952DC" w:rsidRPr="002266D7">
        <w:t xml:space="preserve">von der Präsenz- </w:t>
      </w:r>
      <w:r w:rsidRPr="002266D7">
        <w:t>zur Online-</w:t>
      </w:r>
      <w:r w:rsidR="004952DC" w:rsidRPr="002266D7">
        <w:t>Lehre</w:t>
      </w:r>
      <w:r w:rsidRPr="002266D7">
        <w:t xml:space="preserve"> diskutiert.</w:t>
      </w:r>
    </w:p>
    <w:p w14:paraId="559B40E6" w14:textId="14486D5A" w:rsidR="004A3DB4" w:rsidRPr="002E1F81" w:rsidRDefault="0084774F" w:rsidP="00B978F2">
      <w:pPr>
        <w:pStyle w:val="Abstract"/>
        <w:rPr>
          <w:rStyle w:val="Hyperlink"/>
        </w:rPr>
      </w:pPr>
      <w:hyperlink r:id="rId11" w:history="1">
        <w:r w:rsidR="004A3DB4" w:rsidRPr="002E1F81">
          <w:rPr>
            <w:rStyle w:val="Hyperlink"/>
          </w:rPr>
          <w:t>Link zum Panel</w:t>
        </w:r>
      </w:hyperlink>
    </w:p>
    <w:p w14:paraId="40159CC8" w14:textId="182E3AE6" w:rsidR="00B85E16" w:rsidRDefault="004A3DB4" w:rsidP="00DA1F97">
      <w:pPr>
        <w:pStyle w:val="berschrift1"/>
      </w:pPr>
      <w:bookmarkStart w:id="1" w:name="_Toc40340436"/>
      <w:r>
        <w:lastRenderedPageBreak/>
        <w:t>Forschungsbefunde</w:t>
      </w:r>
      <w:r w:rsidR="00E20FE1">
        <w:t xml:space="preserve"> zum digitalen Lehren und Lernen</w:t>
      </w:r>
      <w:bookmarkEnd w:id="1"/>
    </w:p>
    <w:p w14:paraId="5074A951" w14:textId="77777777" w:rsidR="00785D54" w:rsidRPr="00983CF9" w:rsidRDefault="00785D54" w:rsidP="00DA1F97">
      <w:pPr>
        <w:pStyle w:val="Literaturhinweisengl"/>
      </w:pPr>
      <w:r w:rsidRPr="00983CF9">
        <w:t xml:space="preserve">Alvarez, I., Guasch, T., &amp; Espasa, A. (2009). University teacher roles and competencies in online learning environments: a theoretical analysis of teaching and learning practices. </w:t>
      </w:r>
      <w:r w:rsidRPr="009B6783">
        <w:rPr>
          <w:i/>
          <w:iCs/>
        </w:rPr>
        <w:t>European Journal of Teacher Education, 32</w:t>
      </w:r>
      <w:r w:rsidRPr="00983CF9">
        <w:t>(3), 321-336.</w:t>
      </w:r>
    </w:p>
    <w:p w14:paraId="26906BC8" w14:textId="77777777" w:rsidR="00785D54" w:rsidRPr="002266D7" w:rsidRDefault="00785D54" w:rsidP="00B978F2">
      <w:pPr>
        <w:pStyle w:val="Abstract"/>
      </w:pPr>
      <w:r w:rsidRPr="00BD06AA">
        <w:t>Ziel dieses Artikels ist es die Rollen und Kompetenzen von Lehrenden in Online-Lernumgebungen zu untersuchen, um sie bei der Gestaltung von beruflichen Weiterbildungsaktivitäten zu unterstützen.</w:t>
      </w:r>
    </w:p>
    <w:p w14:paraId="182C8DB5" w14:textId="484CEDA6" w:rsidR="0024028F" w:rsidRPr="00CC451D" w:rsidRDefault="00525AC7" w:rsidP="00DA1F97">
      <w:pPr>
        <w:pStyle w:val="Literaturhinweisengl"/>
      </w:pPr>
      <w:r w:rsidRPr="000603A8">
        <w:t>Andrist, L., Chepp, V., Dean, P., &amp; Miller, M. V. (2014). Toward a video pedagogy: A teaching typology with learning goals</w:t>
      </w:r>
      <w:r w:rsidRPr="000603A8">
        <w:rPr>
          <w:i/>
        </w:rPr>
        <w:t xml:space="preserve">. </w:t>
      </w:r>
      <w:r w:rsidRPr="009B6783">
        <w:rPr>
          <w:i/>
        </w:rPr>
        <w:t xml:space="preserve">Teaching </w:t>
      </w:r>
      <w:r w:rsidR="00A21293" w:rsidRPr="009B6783">
        <w:rPr>
          <w:i/>
        </w:rPr>
        <w:t>S</w:t>
      </w:r>
      <w:r w:rsidRPr="009B6783">
        <w:rPr>
          <w:i/>
        </w:rPr>
        <w:t>ociology, 42</w:t>
      </w:r>
      <w:r w:rsidRPr="00D90DD7">
        <w:t>(3), 196-206.</w:t>
      </w:r>
    </w:p>
    <w:p w14:paraId="0045258F" w14:textId="23C8D9C5" w:rsidR="0024028F" w:rsidRPr="002266D7" w:rsidRDefault="00525AC7" w:rsidP="00B978F2">
      <w:pPr>
        <w:pStyle w:val="Abstract"/>
      </w:pPr>
      <w:r w:rsidRPr="002266D7">
        <w:t xml:space="preserve">Dieser Artikel legt den Fokus </w:t>
      </w:r>
      <w:r w:rsidR="00CF3233" w:rsidRPr="002266D7">
        <w:t xml:space="preserve">auf </w:t>
      </w:r>
      <w:r w:rsidR="008A7A0F" w:rsidRPr="002266D7">
        <w:t>didaktische Aspekte</w:t>
      </w:r>
      <w:r w:rsidRPr="002266D7">
        <w:t xml:space="preserve"> </w:t>
      </w:r>
      <w:r w:rsidR="008A7A0F" w:rsidRPr="002266D7">
        <w:t>bei Einsatz</w:t>
      </w:r>
      <w:r w:rsidRPr="002266D7">
        <w:t xml:space="preserve"> </w:t>
      </w:r>
      <w:r w:rsidR="00CF3233" w:rsidRPr="002266D7">
        <w:t xml:space="preserve">und Gestaltung </w:t>
      </w:r>
      <w:r w:rsidRPr="002266D7">
        <w:t xml:space="preserve">von Videos als </w:t>
      </w:r>
      <w:r w:rsidR="00CF3233" w:rsidRPr="002266D7">
        <w:t xml:space="preserve">Lehr- und </w:t>
      </w:r>
      <w:r w:rsidR="008A7A0F" w:rsidRPr="002266D7">
        <w:t>Lernmaterial</w:t>
      </w:r>
      <w:r w:rsidRPr="002266D7">
        <w:t>.</w:t>
      </w:r>
    </w:p>
    <w:p w14:paraId="77BE9964" w14:textId="4C9A5797" w:rsidR="000C1810" w:rsidRPr="00D21D97" w:rsidRDefault="00525AC7" w:rsidP="00DA1F97">
      <w:pPr>
        <w:pStyle w:val="Literaturhinweisengl"/>
      </w:pPr>
      <w:r w:rsidRPr="00D21D97">
        <w:t xml:space="preserve">Badia, A., Garcia, C., &amp; Meneses, J. (2019). Emotions in response to teaching online: Exploring the factors influencing teachers in a fully online university. </w:t>
      </w:r>
      <w:r w:rsidRPr="009B6783">
        <w:rPr>
          <w:i/>
          <w:iCs/>
        </w:rPr>
        <w:t>Innovations in Education and Teaching International, 56</w:t>
      </w:r>
      <w:r w:rsidRPr="00D21D97">
        <w:t>(4), 446-457.</w:t>
      </w:r>
    </w:p>
    <w:p w14:paraId="660F853E" w14:textId="638CAC6F" w:rsidR="00525AC7" w:rsidRPr="002266D7" w:rsidRDefault="00CF3233" w:rsidP="00B978F2">
      <w:pPr>
        <w:pStyle w:val="Abstract"/>
      </w:pPr>
      <w:r w:rsidRPr="002266D7">
        <w:t xml:space="preserve">Das Ziel dieser Studie </w:t>
      </w:r>
      <w:r w:rsidR="00525AC7" w:rsidRPr="002266D7">
        <w:t xml:space="preserve">ist es, die Emotionen von Lehrenden an einer </w:t>
      </w:r>
      <w:r w:rsidR="0039727C" w:rsidRPr="002266D7">
        <w:t>Online-Universität aufzuzeigen, wobei</w:t>
      </w:r>
      <w:r w:rsidR="00525AC7" w:rsidRPr="002266D7">
        <w:t xml:space="preserve"> die Erfahrung</w:t>
      </w:r>
      <w:r w:rsidR="0017387B" w:rsidRPr="002266D7">
        <w:t>en der Lehrenden mit dem</w:t>
      </w:r>
      <w:r w:rsidR="00525AC7" w:rsidRPr="002266D7">
        <w:t xml:space="preserve"> Online-Unterricht sowie die Faktoren, die diese Emotionen beeinflussen</w:t>
      </w:r>
      <w:r w:rsidR="0017387B" w:rsidRPr="002266D7">
        <w:t>, untersucht werden</w:t>
      </w:r>
      <w:r w:rsidR="00525AC7" w:rsidRPr="002266D7">
        <w:t>.</w:t>
      </w:r>
    </w:p>
    <w:p w14:paraId="7C7783BF" w14:textId="77777777" w:rsidR="000C1810" w:rsidRPr="00770B1E" w:rsidRDefault="00525AC7" w:rsidP="00DA1F97">
      <w:pPr>
        <w:pStyle w:val="Literaturhinweisengl"/>
      </w:pPr>
      <w:r w:rsidRPr="00770B1E">
        <w:t xml:space="preserve">Clark, C. H., &amp; Wilson, B. P. (2017). The potential for university collaboration and online learning to internationalise geography education. </w:t>
      </w:r>
      <w:r w:rsidRPr="009B6783">
        <w:rPr>
          <w:i/>
        </w:rPr>
        <w:t>Journal of Geography in Higher Education, 41</w:t>
      </w:r>
      <w:r w:rsidRPr="00770B1E">
        <w:t>(4), 488-505.</w:t>
      </w:r>
    </w:p>
    <w:p w14:paraId="100629A1" w14:textId="5C940FC2" w:rsidR="00525AC7" w:rsidRPr="002266D7" w:rsidRDefault="00525AC7" w:rsidP="00B978F2">
      <w:pPr>
        <w:pStyle w:val="Abstract"/>
      </w:pPr>
      <w:r w:rsidRPr="002266D7">
        <w:t xml:space="preserve">In dieser Studie werden </w:t>
      </w:r>
      <w:r w:rsidR="00385DF8" w:rsidRPr="002266D7">
        <w:t xml:space="preserve">Hürden und </w:t>
      </w:r>
      <w:r w:rsidRPr="002266D7">
        <w:t xml:space="preserve">Schwierigkeiten </w:t>
      </w:r>
      <w:r w:rsidR="00385DF8" w:rsidRPr="002266D7">
        <w:t xml:space="preserve">bei </w:t>
      </w:r>
      <w:r w:rsidRPr="002266D7">
        <w:t>internationale</w:t>
      </w:r>
      <w:r w:rsidR="0017387B" w:rsidRPr="002266D7">
        <w:t>n</w:t>
      </w:r>
      <w:r w:rsidRPr="002266D7">
        <w:t xml:space="preserve"> </w:t>
      </w:r>
      <w:r w:rsidR="00CF3233" w:rsidRPr="002266D7">
        <w:t>Kollaborationen</w:t>
      </w:r>
      <w:r w:rsidR="00385DF8" w:rsidRPr="002266D7">
        <w:t xml:space="preserve"> von </w:t>
      </w:r>
      <w:r w:rsidR="0017387B" w:rsidRPr="002266D7">
        <w:t>Universität</w:t>
      </w:r>
      <w:r w:rsidR="00385DF8" w:rsidRPr="002266D7">
        <w:t>en</w:t>
      </w:r>
      <w:r w:rsidRPr="002266D7">
        <w:t xml:space="preserve"> </w:t>
      </w:r>
      <w:r w:rsidR="00CF3233" w:rsidRPr="002266D7">
        <w:t>diskutiert</w:t>
      </w:r>
      <w:r w:rsidR="007E6175" w:rsidRPr="002266D7">
        <w:t>. Im Fokus steht dabei die Internationalisierung von Studiengängen durch</w:t>
      </w:r>
      <w:r w:rsidR="00385DF8" w:rsidRPr="002266D7">
        <w:t xml:space="preserve"> </w:t>
      </w:r>
      <w:r w:rsidRPr="002266D7">
        <w:t xml:space="preserve">Online-Lehre </w:t>
      </w:r>
      <w:r w:rsidR="007E6175" w:rsidRPr="002266D7">
        <w:t>im Fach Geographie</w:t>
      </w:r>
      <w:r w:rsidRPr="002266D7">
        <w:t>.</w:t>
      </w:r>
    </w:p>
    <w:p w14:paraId="5777C70D" w14:textId="77777777" w:rsidR="000C1810" w:rsidRPr="00770B1E" w:rsidRDefault="00525AC7" w:rsidP="00DA1F97">
      <w:pPr>
        <w:pStyle w:val="Literaturhinweisengl"/>
      </w:pPr>
      <w:r w:rsidRPr="00770B1E">
        <w:t xml:space="preserve">Driscoll, A., Jicha, K., Hunt, A. N., Tichavsky, L., &amp; Thompson, G. (2012). Can online courses deliver in-class results? A comparison of student performance and satisfaction in an online versus a face-to-face introductory sociology course. </w:t>
      </w:r>
      <w:r w:rsidRPr="009B6783">
        <w:rPr>
          <w:i/>
        </w:rPr>
        <w:t>Teaching Sociology, 40</w:t>
      </w:r>
      <w:r w:rsidRPr="00770B1E">
        <w:t>(4), 312-331.</w:t>
      </w:r>
    </w:p>
    <w:p w14:paraId="291C1517" w14:textId="77777777" w:rsidR="000C1810" w:rsidRPr="002266D7" w:rsidRDefault="00525AC7" w:rsidP="00B978F2">
      <w:pPr>
        <w:pStyle w:val="Abstract"/>
      </w:pPr>
      <w:r w:rsidRPr="002266D7">
        <w:t xml:space="preserve">Diese Studie verwendet ein quasi-experimentelles Design, um Unterschiede in der Leistung und Zufriedenheit der Studierenden in Online- und </w:t>
      </w:r>
      <w:r w:rsidRPr="00770B1E">
        <w:rPr>
          <w:lang w:val="en-GB"/>
        </w:rPr>
        <w:t>Face-to-Face</w:t>
      </w:r>
      <w:r w:rsidRPr="002266D7">
        <w:t xml:space="preserve"> (F2</w:t>
      </w:r>
      <w:proofErr w:type="gramStart"/>
      <w:r w:rsidRPr="002266D7">
        <w:t>F)-</w:t>
      </w:r>
      <w:proofErr w:type="gramEnd"/>
      <w:r w:rsidRPr="002266D7">
        <w:t>Lehre zu bewerten.</w:t>
      </w:r>
    </w:p>
    <w:p w14:paraId="3561E541" w14:textId="77777777" w:rsidR="000C1810" w:rsidRPr="007C43BA" w:rsidRDefault="00525AC7" w:rsidP="00DA1F97">
      <w:pPr>
        <w:pStyle w:val="Literaturhinweisengl"/>
      </w:pPr>
      <w:r w:rsidRPr="007C43BA">
        <w:t xml:space="preserve">Foster, D. (2015). Private journals versus public blogs: The impact of peer readership on low-stakes reflective writing. </w:t>
      </w:r>
      <w:r w:rsidRPr="009B6783">
        <w:rPr>
          <w:i/>
        </w:rPr>
        <w:t>Teaching Sociology, 43</w:t>
      </w:r>
      <w:r w:rsidRPr="007C43BA">
        <w:t>(2), 104-114.</w:t>
      </w:r>
    </w:p>
    <w:p w14:paraId="07A4B68C" w14:textId="77777777" w:rsidR="00525AC7" w:rsidRPr="002266D7" w:rsidRDefault="00525AC7" w:rsidP="00B978F2">
      <w:pPr>
        <w:pStyle w:val="Abstract"/>
      </w:pPr>
      <w:r w:rsidRPr="002266D7">
        <w:t>In dieser Studie werden unterschiedlichen Auswirkungen von Blogeinträgen auf die intellektuelle Risikobereitschaft von Studierenden anhand einer Inhaltsanalyse von über 2.000 Einträgen diskutiert.</w:t>
      </w:r>
    </w:p>
    <w:p w14:paraId="54FBDAB8" w14:textId="6075FDFB" w:rsidR="000C1810" w:rsidRPr="007C43BA" w:rsidRDefault="00525AC7" w:rsidP="00DA1F97">
      <w:pPr>
        <w:pStyle w:val="Literaturhinweisengl"/>
      </w:pPr>
      <w:r w:rsidRPr="007C43BA">
        <w:t>Henderson, M., Selwyn, N., &amp; Aston, R. (2017). What works and why? Student perceptions of ‘useful’</w:t>
      </w:r>
      <w:r w:rsidR="0004567E" w:rsidRPr="007C43BA">
        <w:t xml:space="preserve"> </w:t>
      </w:r>
      <w:r w:rsidRPr="007C43BA">
        <w:t xml:space="preserve">digital technology in university teaching and learning. </w:t>
      </w:r>
      <w:r w:rsidRPr="009B6783">
        <w:rPr>
          <w:i/>
        </w:rPr>
        <w:t>Studies in Higher Education, 42</w:t>
      </w:r>
      <w:r w:rsidRPr="007C43BA">
        <w:t>(8), 1567-1579.</w:t>
      </w:r>
    </w:p>
    <w:p w14:paraId="5D02B815" w14:textId="5BF2EAE6" w:rsidR="00525AC7" w:rsidRPr="002266D7" w:rsidRDefault="00525AC7" w:rsidP="00B978F2">
      <w:pPr>
        <w:pStyle w:val="Abstract"/>
      </w:pPr>
      <w:r w:rsidRPr="002266D7">
        <w:lastRenderedPageBreak/>
        <w:t xml:space="preserve">In diesem Beitrag werden die Erfahrungen </w:t>
      </w:r>
      <w:r w:rsidR="0004567E" w:rsidRPr="002266D7">
        <w:t xml:space="preserve">von </w:t>
      </w:r>
      <w:r w:rsidRPr="002266D7">
        <w:t>Studierenden mit digitalen Technologien während ihres Studiums untersucht und dabei die Technologien, die als besonders hilfreich und/oder nützlich bewertet werden</w:t>
      </w:r>
      <w:r w:rsidR="0004567E" w:rsidRPr="002266D7">
        <w:t>,</w:t>
      </w:r>
      <w:r w:rsidRPr="002266D7">
        <w:t xml:space="preserve"> herausgestellt.</w:t>
      </w:r>
    </w:p>
    <w:p w14:paraId="4C5CE567" w14:textId="77777777" w:rsidR="000C1810" w:rsidRPr="007C43BA" w:rsidRDefault="00525AC7" w:rsidP="00DA1F97">
      <w:pPr>
        <w:pStyle w:val="Literaturhinweisengl"/>
      </w:pPr>
      <w:r w:rsidRPr="007C43BA">
        <w:t xml:space="preserve">Jensen, L., Price, L., &amp; Roxå, T. (2019). Seeing through the eyes of a teacher: differences in perceptions of HE teaching in face-to-face and digital contexts. </w:t>
      </w:r>
      <w:r w:rsidRPr="007C43BA">
        <w:rPr>
          <w:i/>
        </w:rPr>
        <w:t>Studies in Higher Education</w:t>
      </w:r>
      <w:r w:rsidRPr="007C43BA">
        <w:t>, 1-11.</w:t>
      </w:r>
    </w:p>
    <w:p w14:paraId="22D99037" w14:textId="793A2BFC" w:rsidR="00525AC7" w:rsidRPr="002266D7" w:rsidRDefault="00525AC7" w:rsidP="00B978F2">
      <w:pPr>
        <w:pStyle w:val="Abstract"/>
      </w:pPr>
      <w:r w:rsidRPr="002266D7">
        <w:t xml:space="preserve">Die Studie untersucht, wie Lehrende die Unterschiede zwischen </w:t>
      </w:r>
      <w:r w:rsidR="00BD280C">
        <w:t xml:space="preserve">der </w:t>
      </w:r>
      <w:r w:rsidRPr="002266D7">
        <w:t xml:space="preserve">Lehre in </w:t>
      </w:r>
      <w:r w:rsidR="00BD280C">
        <w:t>Präsenzkontexten</w:t>
      </w:r>
      <w:r w:rsidRPr="002266D7">
        <w:t xml:space="preserve"> und digitalen </w:t>
      </w:r>
      <w:r w:rsidR="00BD280C">
        <w:t>Lehrumgebungen</w:t>
      </w:r>
      <w:r w:rsidRPr="002266D7">
        <w:t xml:space="preserve"> wahrnehmen.</w:t>
      </w:r>
    </w:p>
    <w:p w14:paraId="6004B0DB" w14:textId="291A328A" w:rsidR="005D3848" w:rsidRPr="007C43BA" w:rsidRDefault="0084774F" w:rsidP="00B978F2">
      <w:pPr>
        <w:pStyle w:val="Abstract"/>
        <w:rPr>
          <w:rStyle w:val="Hyperlink"/>
        </w:rPr>
      </w:pPr>
      <w:hyperlink r:id="rId12" w:history="1">
        <w:r w:rsidR="005D3848" w:rsidRPr="007C43BA">
          <w:rPr>
            <w:rStyle w:val="Hyperlink"/>
          </w:rPr>
          <w:t>Link zum Artikel</w:t>
        </w:r>
      </w:hyperlink>
    </w:p>
    <w:p w14:paraId="0F7E41C2" w14:textId="5E748DB3" w:rsidR="000C1810" w:rsidRPr="007C43BA" w:rsidRDefault="00525AC7" w:rsidP="00DA1F97">
      <w:pPr>
        <w:pStyle w:val="Literaturhinweisengl"/>
      </w:pPr>
      <w:r w:rsidRPr="007C43BA">
        <w:t xml:space="preserve">Kilgour, P., Reynaud, D., Northcote, M., McLoughlin, C., &amp; Gosselin, K. P. (2019). Threshold concepts about online pedagogy for novice online teachers in higher education. </w:t>
      </w:r>
      <w:r w:rsidRPr="009B6783">
        <w:rPr>
          <w:i/>
        </w:rPr>
        <w:t>Higher Education Research &amp; Development, 38</w:t>
      </w:r>
      <w:r w:rsidRPr="007C43BA">
        <w:t>(7), 1417-1431.</w:t>
      </w:r>
    </w:p>
    <w:p w14:paraId="79AD76A8" w14:textId="519622AA" w:rsidR="00525AC7" w:rsidRPr="002266D7" w:rsidRDefault="00525AC7" w:rsidP="00B978F2">
      <w:pPr>
        <w:pStyle w:val="Abstract"/>
      </w:pPr>
      <w:r w:rsidRPr="002266D7">
        <w:t xml:space="preserve">In dieser Studie werden </w:t>
      </w:r>
      <w:r w:rsidRPr="003D1E8D">
        <w:rPr>
          <w:i/>
          <w:iCs/>
        </w:rPr>
        <w:t>Threshold Konzepte</w:t>
      </w:r>
      <w:r w:rsidRPr="002266D7">
        <w:t xml:space="preserve"> </w:t>
      </w:r>
      <w:r w:rsidR="003D1E8D">
        <w:t xml:space="preserve">(Schwellenkonzepte) </w:t>
      </w:r>
      <w:r w:rsidRPr="002266D7">
        <w:t>im Zusammenhang mit Online-Lehre identifiziert und näher untersucht.</w:t>
      </w:r>
    </w:p>
    <w:p w14:paraId="0EADFA4E" w14:textId="77777777" w:rsidR="000C1810" w:rsidRPr="007C43BA" w:rsidRDefault="00525AC7" w:rsidP="00DA1F97">
      <w:pPr>
        <w:pStyle w:val="Literaturhinweisengl"/>
      </w:pPr>
      <w:r w:rsidRPr="007C43BA">
        <w:t xml:space="preserve">Lacka, E., &amp; Wong, T. C. (2019). Examining the impact of digital technologies on students’ higher education outcomes: the case of the virtual learning environment and social media. </w:t>
      </w:r>
      <w:r w:rsidRPr="007C43BA">
        <w:rPr>
          <w:i/>
        </w:rPr>
        <w:t>Studies in Higher Education</w:t>
      </w:r>
      <w:r w:rsidRPr="007C43BA">
        <w:t>, 1-14.</w:t>
      </w:r>
    </w:p>
    <w:p w14:paraId="43682BC5" w14:textId="05FC49BE" w:rsidR="000C1810" w:rsidRPr="002266D7" w:rsidRDefault="00525AC7" w:rsidP="00B978F2">
      <w:pPr>
        <w:pStyle w:val="Abstract"/>
      </w:pPr>
      <w:r w:rsidRPr="002266D7">
        <w:t xml:space="preserve">In dieser Studie werden die Auswirkungen von digitalen Technologien auf die Leistung </w:t>
      </w:r>
      <w:r w:rsidR="00CF3233" w:rsidRPr="002266D7">
        <w:t xml:space="preserve">von </w:t>
      </w:r>
      <w:r w:rsidRPr="002266D7">
        <w:t>Studierende</w:t>
      </w:r>
      <w:r w:rsidR="00CF3233" w:rsidRPr="002266D7">
        <w:t>n</w:t>
      </w:r>
      <w:r w:rsidRPr="002266D7">
        <w:t xml:space="preserve"> näher überprüft.</w:t>
      </w:r>
    </w:p>
    <w:p w14:paraId="0E640F91" w14:textId="576F689B" w:rsidR="000C1810" w:rsidRPr="007C43BA" w:rsidRDefault="00525AC7" w:rsidP="00DA1F97">
      <w:pPr>
        <w:pStyle w:val="Literaturhinweisengl"/>
      </w:pPr>
      <w:r w:rsidRPr="007C43BA">
        <w:t>Lea, M. R., &amp; Jones, S. (2011). Digital literacies in higher education: exploring textual and technological practice.</w:t>
      </w:r>
      <w:r w:rsidRPr="007C43BA">
        <w:rPr>
          <w:i/>
        </w:rPr>
        <w:t xml:space="preserve"> </w:t>
      </w:r>
      <w:r w:rsidRPr="009B6783">
        <w:rPr>
          <w:i/>
        </w:rPr>
        <w:t xml:space="preserve">Studies in </w:t>
      </w:r>
      <w:r w:rsidR="005D1E30" w:rsidRPr="009B6783">
        <w:rPr>
          <w:i/>
        </w:rPr>
        <w:t>H</w:t>
      </w:r>
      <w:r w:rsidRPr="009B6783">
        <w:rPr>
          <w:i/>
        </w:rPr>
        <w:t xml:space="preserve">igher </w:t>
      </w:r>
      <w:r w:rsidR="005D1E30" w:rsidRPr="009B6783">
        <w:rPr>
          <w:i/>
        </w:rPr>
        <w:t>E</w:t>
      </w:r>
      <w:r w:rsidRPr="009B6783">
        <w:rPr>
          <w:i/>
        </w:rPr>
        <w:t>ducation, 36</w:t>
      </w:r>
      <w:r w:rsidRPr="007C43BA">
        <w:t>(4), 377-393.</w:t>
      </w:r>
    </w:p>
    <w:p w14:paraId="2FB5EFD7" w14:textId="2DAE13BC" w:rsidR="000C1810" w:rsidRPr="002266D7" w:rsidRDefault="00525AC7" w:rsidP="00B978F2">
      <w:pPr>
        <w:pStyle w:val="Abstract"/>
      </w:pPr>
      <w:r w:rsidRPr="002266D7">
        <w:t xml:space="preserve">In dieser Studie </w:t>
      </w:r>
      <w:r w:rsidR="00B15EC0" w:rsidRPr="002266D7">
        <w:t>w</w:t>
      </w:r>
      <w:r w:rsidR="00C62228" w:rsidRPr="002266D7">
        <w:t>e</w:t>
      </w:r>
      <w:r w:rsidR="00B15EC0" w:rsidRPr="002266D7">
        <w:t>rd</w:t>
      </w:r>
      <w:r w:rsidR="00C62228" w:rsidRPr="002266D7">
        <w:t>en</w:t>
      </w:r>
      <w:r w:rsidR="00B15EC0" w:rsidRPr="002266D7">
        <w:t xml:space="preserve"> </w:t>
      </w:r>
      <w:r w:rsidRPr="002266D7">
        <w:t>die komplexe</w:t>
      </w:r>
      <w:r w:rsidR="00C62228" w:rsidRPr="002266D7">
        <w:t>n</w:t>
      </w:r>
      <w:r w:rsidRPr="002266D7">
        <w:t xml:space="preserve"> Wechsel</w:t>
      </w:r>
      <w:r w:rsidR="00C62228" w:rsidRPr="002266D7">
        <w:t>wirkungen</w:t>
      </w:r>
      <w:r w:rsidRPr="002266D7">
        <w:t xml:space="preserve"> zwischen </w:t>
      </w:r>
      <w:r w:rsidR="00C62228" w:rsidRPr="002266D7">
        <w:t xml:space="preserve">den </w:t>
      </w:r>
      <w:r w:rsidRPr="002266D7">
        <w:t>Lese- und Schreibfähigkeiten Studierende</w:t>
      </w:r>
      <w:r w:rsidR="00C62228" w:rsidRPr="002266D7">
        <w:t>r</w:t>
      </w:r>
      <w:r w:rsidRPr="002266D7">
        <w:t xml:space="preserve"> und </w:t>
      </w:r>
      <w:r w:rsidR="00B15EC0" w:rsidRPr="002266D7">
        <w:t xml:space="preserve">ihrer </w:t>
      </w:r>
      <w:r w:rsidRPr="002266D7">
        <w:t>Technologienutzung untersucht.</w:t>
      </w:r>
    </w:p>
    <w:p w14:paraId="71BECD7D" w14:textId="77777777" w:rsidR="000C1810" w:rsidRPr="007C43BA" w:rsidRDefault="00525AC7" w:rsidP="00DA1F97">
      <w:pPr>
        <w:pStyle w:val="Literaturhinweisengl"/>
      </w:pPr>
      <w:r w:rsidRPr="007C43BA">
        <w:t xml:space="preserve">Means, B., Toyama, Y., Murphy, R., Bakia, M., &amp; Jones, K. (2009). </w:t>
      </w:r>
      <w:r w:rsidRPr="007C43BA">
        <w:rPr>
          <w:i/>
        </w:rPr>
        <w:t>Evaluation of evidence-based practices in online learning: A meta-analysis and review of online learning studies</w:t>
      </w:r>
      <w:r w:rsidRPr="007C43BA">
        <w:t>. Project Report. Centre for Learning Technology.</w:t>
      </w:r>
    </w:p>
    <w:p w14:paraId="3FDE3211" w14:textId="1DC5C510" w:rsidR="00525AC7" w:rsidRPr="002266D7" w:rsidRDefault="00525AC7" w:rsidP="00B978F2">
      <w:pPr>
        <w:pStyle w:val="Abstract"/>
      </w:pPr>
      <w:r w:rsidRPr="002266D7">
        <w:t>In diesem Beitrag wird eine systematische Literaturanalyse zu</w:t>
      </w:r>
      <w:r w:rsidR="00C62228" w:rsidRPr="002266D7">
        <w:t>m</w:t>
      </w:r>
      <w:r w:rsidRPr="002266D7">
        <w:t xml:space="preserve"> Online-Lernen durchgeführt. Der Fokus liegt auf Studien (a) zur Gegenüberstellung von Bedingungen für Online- und Face-to-Face-Lehre, (b) zu Lernerfolgen von Studierenden, (c) zu rigorosen Forschungsdesigns und (d) mit adäquaten Informationen zur Berechnung einer Effektgröße.</w:t>
      </w:r>
    </w:p>
    <w:p w14:paraId="4A33812E" w14:textId="77777777" w:rsidR="000C1810" w:rsidRPr="00CC451D" w:rsidRDefault="00525AC7" w:rsidP="004B73BF">
      <w:pPr>
        <w:pStyle w:val="Literaturhinweisdt"/>
        <w:keepNext/>
      </w:pPr>
      <w:r w:rsidRPr="00CC451D">
        <w:t xml:space="preserve">Nistor, N., &amp; Schirlitz, S. (Eds.). (2015). </w:t>
      </w:r>
      <w:r w:rsidRPr="000B0821">
        <w:rPr>
          <w:i/>
          <w:iCs/>
        </w:rPr>
        <w:t>Digitale Medien und Interdisziplinarität: Herausforderungen, Erfahrungen, Perspektiven</w:t>
      </w:r>
      <w:r w:rsidRPr="00CC451D">
        <w:t>. Waxmann.</w:t>
      </w:r>
    </w:p>
    <w:p w14:paraId="34EF94BC" w14:textId="2E878AD2" w:rsidR="00525AC7" w:rsidRPr="002266D7" w:rsidRDefault="00525AC7" w:rsidP="00B978F2">
      <w:pPr>
        <w:pStyle w:val="Abstract"/>
      </w:pPr>
      <w:r w:rsidRPr="002266D7">
        <w:t xml:space="preserve">In diesem </w:t>
      </w:r>
      <w:r w:rsidR="00C62228" w:rsidRPr="002266D7">
        <w:t xml:space="preserve">Herausgeberwerk </w:t>
      </w:r>
      <w:r w:rsidRPr="002266D7">
        <w:t>wird der Medieneinsatz in interdisziplinären Bereichen diskutiert.</w:t>
      </w:r>
    </w:p>
    <w:p w14:paraId="6629ADA9" w14:textId="77777777" w:rsidR="000C1810" w:rsidRPr="007C43BA" w:rsidRDefault="00525AC7" w:rsidP="00DA1F97">
      <w:pPr>
        <w:pStyle w:val="Literaturhinweisengl"/>
      </w:pPr>
      <w:r w:rsidRPr="007C43BA">
        <w:t xml:space="preserve">Page, K. L., &amp; Reynolds, N. (2015). Learning from a wiki way of learning. </w:t>
      </w:r>
      <w:r w:rsidRPr="009B6783">
        <w:rPr>
          <w:i/>
        </w:rPr>
        <w:t>Studies in Higher Education, 40</w:t>
      </w:r>
      <w:r w:rsidRPr="007C43BA">
        <w:t>(6), 988-1013.</w:t>
      </w:r>
    </w:p>
    <w:p w14:paraId="67F82387" w14:textId="74FA552C" w:rsidR="00CC31C8" w:rsidRPr="002266D7" w:rsidRDefault="00CC31C8" w:rsidP="00B978F2">
      <w:pPr>
        <w:pStyle w:val="Abstract"/>
      </w:pPr>
      <w:r w:rsidRPr="002266D7">
        <w:lastRenderedPageBreak/>
        <w:t xml:space="preserve">Dieser Beitrag berichtet über die Ergebnisse einer Fallstudie mit 58 Studierenden, die in Kleingruppen über acht Wochen </w:t>
      </w:r>
      <w:r w:rsidR="00962F6D">
        <w:t>a</w:t>
      </w:r>
      <w:r w:rsidRPr="002266D7">
        <w:t xml:space="preserve">n einem kollaborativen </w:t>
      </w:r>
      <w:r w:rsidR="00962F6D">
        <w:t>Wiki-</w:t>
      </w:r>
      <w:r w:rsidRPr="002266D7">
        <w:t xml:space="preserve">Schreibprojekt </w:t>
      </w:r>
      <w:r w:rsidR="00962F6D">
        <w:t>teilnahmen</w:t>
      </w:r>
      <w:r w:rsidRPr="002266D7">
        <w:t>.</w:t>
      </w:r>
    </w:p>
    <w:p w14:paraId="3577EAE7" w14:textId="77777777" w:rsidR="000C1810" w:rsidRPr="007C43BA" w:rsidRDefault="00CC31C8" w:rsidP="00DA1F97">
      <w:pPr>
        <w:pStyle w:val="Literaturhinweisengl"/>
      </w:pPr>
      <w:r w:rsidRPr="007C43BA">
        <w:t xml:space="preserve">Pearson, A. F. (2010). Real problems, virtual solutions: Engaging students online. </w:t>
      </w:r>
      <w:r w:rsidRPr="009B6783">
        <w:rPr>
          <w:i/>
        </w:rPr>
        <w:t>Teaching Sociology, 38</w:t>
      </w:r>
      <w:r w:rsidRPr="007C43BA">
        <w:t>(3), 207-214.</w:t>
      </w:r>
    </w:p>
    <w:p w14:paraId="547B793B" w14:textId="62ECBB0D" w:rsidR="00CC31C8" w:rsidRPr="002266D7" w:rsidRDefault="00CC31C8" w:rsidP="00B978F2">
      <w:pPr>
        <w:pStyle w:val="Abstract"/>
      </w:pPr>
      <w:r w:rsidRPr="002266D7">
        <w:t>In diesem Artikel wird erklärt, wie Online-Blogs mit mehr als 263 Studierenden über einen Zeitraum von vier Semestern in einem Einführungskurs über soziale Probleme genutzt werden können</w:t>
      </w:r>
      <w:r w:rsidR="00C62228" w:rsidRPr="002266D7">
        <w:t>,</w:t>
      </w:r>
      <w:r w:rsidRPr="002266D7">
        <w:t xml:space="preserve"> um die Teilnahme der Studierenden im Seminar, ihr Engagement und ihre </w:t>
      </w:r>
      <w:r w:rsidR="00C62228" w:rsidRPr="002266D7">
        <w:t xml:space="preserve">Kompetenzen </w:t>
      </w:r>
      <w:r w:rsidRPr="002266D7">
        <w:t>zu fördern.</w:t>
      </w:r>
    </w:p>
    <w:p w14:paraId="1FE6BA0E" w14:textId="25D75FB2" w:rsidR="000C1810" w:rsidRPr="008A1757" w:rsidRDefault="00CC31C8" w:rsidP="00DA1F97">
      <w:pPr>
        <w:pStyle w:val="Literaturhinweisengl"/>
      </w:pPr>
      <w:r w:rsidRPr="007C43BA">
        <w:t xml:space="preserve">Perraton, H. (2012). </w:t>
      </w:r>
      <w:r w:rsidRPr="007C43BA">
        <w:rPr>
          <w:i/>
        </w:rPr>
        <w:t>Theory, evidence and practice in open and distance learning</w:t>
      </w:r>
      <w:r w:rsidRPr="007C43BA">
        <w:t>.</w:t>
      </w:r>
      <w:r w:rsidRPr="00CC31C8">
        <w:t xml:space="preserve"> </w:t>
      </w:r>
      <w:r w:rsidRPr="008A1757">
        <w:t>BIS-Verlag der Carl-von-Ossietzky-Univ</w:t>
      </w:r>
      <w:r w:rsidR="004F0CF7">
        <w:t>ersität</w:t>
      </w:r>
      <w:r w:rsidRPr="008A1757">
        <w:t>.</w:t>
      </w:r>
    </w:p>
    <w:p w14:paraId="717C7AF5" w14:textId="77777777" w:rsidR="000C1810" w:rsidRPr="002266D7" w:rsidRDefault="00CC31C8" w:rsidP="00B978F2">
      <w:pPr>
        <w:pStyle w:val="Abstract"/>
      </w:pPr>
      <w:r w:rsidRPr="002266D7">
        <w:t>In diesem Buch wird argumentiert, dass digitale Lehre auf Basis von wissenschaftlichen Befunden und theoretischen Konzepten gestützt werden sollte.</w:t>
      </w:r>
    </w:p>
    <w:p w14:paraId="4F85FAF8" w14:textId="6C099950" w:rsidR="000C1810" w:rsidRPr="007C43BA" w:rsidRDefault="00CC31C8" w:rsidP="00DA1F97">
      <w:pPr>
        <w:pStyle w:val="Literaturhinweisengl"/>
      </w:pPr>
      <w:r w:rsidRPr="007C43BA">
        <w:t>Raaheim, A., Mathiassen, K., Moen, V., Lona, I., Gynnild, V., Bunæs, B. R., &amp; Hasle, E. T. (2019). Digital assessment</w:t>
      </w:r>
      <w:r w:rsidR="004F0CF7" w:rsidRPr="007C43BA">
        <w:t xml:space="preserve"> </w:t>
      </w:r>
      <w:r w:rsidRPr="007C43BA">
        <w:t>–</w:t>
      </w:r>
      <w:r w:rsidR="004F0CF7" w:rsidRPr="007C43BA">
        <w:t xml:space="preserve"> </w:t>
      </w:r>
      <w:r w:rsidRPr="007C43BA">
        <w:t xml:space="preserve">how does it challenge local practices and national law? A Norwegian case study. </w:t>
      </w:r>
      <w:r w:rsidRPr="009B6783">
        <w:rPr>
          <w:i/>
        </w:rPr>
        <w:t>European Journal of Higher Education, 9</w:t>
      </w:r>
      <w:r w:rsidRPr="007C43BA">
        <w:t>(2), 219-231.</w:t>
      </w:r>
    </w:p>
    <w:p w14:paraId="61F9E092" w14:textId="715E20EA" w:rsidR="00CC31C8" w:rsidRPr="002266D7" w:rsidRDefault="00CC31C8" w:rsidP="00B978F2">
      <w:pPr>
        <w:pStyle w:val="Abstract"/>
      </w:pPr>
      <w:r w:rsidRPr="002266D7">
        <w:t>In dieser Studie werden die Konflikte digitale</w:t>
      </w:r>
      <w:r w:rsidR="004F0CF7" w:rsidRPr="002266D7">
        <w:t>r</w:t>
      </w:r>
      <w:r w:rsidRPr="002266D7">
        <w:t xml:space="preserve"> Prüfungen mit den bestehenden Gesetzen zur Regelung von Lehre und Bewertung an </w:t>
      </w:r>
      <w:r w:rsidR="004F0CF7" w:rsidRPr="002266D7">
        <w:t xml:space="preserve">norwegischen </w:t>
      </w:r>
      <w:r w:rsidRPr="002266D7">
        <w:t>Universitäten diskutiert.</w:t>
      </w:r>
    </w:p>
    <w:p w14:paraId="4A293122" w14:textId="50AB0F15" w:rsidR="000C1810" w:rsidRPr="00CC451D" w:rsidRDefault="00CC31C8" w:rsidP="004B73BF">
      <w:pPr>
        <w:pStyle w:val="Literaturhinweisdt"/>
        <w:keepNext/>
      </w:pPr>
      <w:r w:rsidRPr="00CC451D">
        <w:t xml:space="preserve">Schulze Heuling, L., &amp; Wild, S. </w:t>
      </w:r>
      <w:r w:rsidR="00C745F4">
        <w:t>(</w:t>
      </w:r>
      <w:r w:rsidRPr="00CC451D">
        <w:t>2020</w:t>
      </w:r>
      <w:r w:rsidR="00C745F4">
        <w:t>)</w:t>
      </w:r>
      <w:r w:rsidRPr="00CC451D">
        <w:t xml:space="preserve">. </w:t>
      </w:r>
      <w:r w:rsidRPr="00973447">
        <w:rPr>
          <w:i/>
          <w:iCs/>
        </w:rPr>
        <w:t>Welche digitalen Kompetenzen weisen Studienanfänger* innen der Wirtschaftswissenschaften im dualen Studium auf? – eine explorative Profilanalyse</w:t>
      </w:r>
      <w:r w:rsidRPr="00CC451D">
        <w:t xml:space="preserve">. </w:t>
      </w:r>
      <w:r w:rsidR="00EE15DB">
        <w:t xml:space="preserve">15. </w:t>
      </w:r>
      <w:r w:rsidR="006A1E73" w:rsidRPr="00CC451D">
        <w:t>Jahrestagung</w:t>
      </w:r>
      <w:r w:rsidR="006A1E73">
        <w:t xml:space="preserve"> der Gesellschaft für Hochschulforschung</w:t>
      </w:r>
      <w:r w:rsidR="00EE15DB">
        <w:t>, Hamburg</w:t>
      </w:r>
      <w:r w:rsidRPr="00CC451D">
        <w:t>.</w:t>
      </w:r>
    </w:p>
    <w:p w14:paraId="294EB501" w14:textId="2D5AE64A" w:rsidR="00CC31C8" w:rsidRPr="002266D7" w:rsidRDefault="009179E2" w:rsidP="00B978F2">
      <w:pPr>
        <w:pStyle w:val="Abstract"/>
      </w:pPr>
      <w:r w:rsidRPr="002266D7">
        <w:t>Dieser Vortrag</w:t>
      </w:r>
      <w:r w:rsidR="00CC31C8" w:rsidRPr="002266D7">
        <w:t xml:space="preserve"> befasst sich mit der Fragestellung, welche </w:t>
      </w:r>
      <w:r w:rsidR="00BC7B19">
        <w:t>P</w:t>
      </w:r>
      <w:r w:rsidR="00CC31C8" w:rsidRPr="002266D7">
        <w:t xml:space="preserve">rofile </w:t>
      </w:r>
      <w:r w:rsidR="00BC7B19">
        <w:t>von</w:t>
      </w:r>
      <w:r w:rsidRPr="002266D7">
        <w:t xml:space="preserve"> </w:t>
      </w:r>
      <w:r w:rsidR="00CC31C8" w:rsidRPr="002266D7">
        <w:t>digitale</w:t>
      </w:r>
      <w:r w:rsidRPr="002266D7">
        <w:t>n</w:t>
      </w:r>
      <w:r w:rsidR="00CC31C8" w:rsidRPr="002266D7">
        <w:t xml:space="preserve"> </w:t>
      </w:r>
      <w:r w:rsidRPr="002266D7">
        <w:t>Kompetenzen</w:t>
      </w:r>
      <w:r w:rsidR="00CC31C8" w:rsidRPr="002266D7">
        <w:t xml:space="preserve"> sich bei Studienanfänger*innen der Wirtschaftswissenschaft im dualen Studium ableiten</w:t>
      </w:r>
      <w:r w:rsidR="002722F6" w:rsidRPr="002266D7">
        <w:t xml:space="preserve"> lassen</w:t>
      </w:r>
      <w:r w:rsidR="00CC31C8" w:rsidRPr="002266D7">
        <w:t>.</w:t>
      </w:r>
    </w:p>
    <w:p w14:paraId="4B829E10" w14:textId="37FBFC6D" w:rsidR="00CC31C8" w:rsidRPr="002E1F81" w:rsidRDefault="0084774F" w:rsidP="00B978F2">
      <w:pPr>
        <w:pStyle w:val="Abstract"/>
        <w:rPr>
          <w:rStyle w:val="Hyperlink"/>
        </w:rPr>
      </w:pPr>
      <w:hyperlink r:id="rId13" w:history="1">
        <w:r w:rsidR="00CC31C8" w:rsidRPr="002E1F81">
          <w:rPr>
            <w:rStyle w:val="Hyperlink"/>
          </w:rPr>
          <w:t>Link zum Vortrag</w:t>
        </w:r>
      </w:hyperlink>
    </w:p>
    <w:p w14:paraId="4AEDA3FB" w14:textId="77777777" w:rsidR="000C1810" w:rsidRPr="007C43BA" w:rsidRDefault="00CC31C8" w:rsidP="00DA1F97">
      <w:pPr>
        <w:pStyle w:val="Literaturhinweisengl"/>
      </w:pPr>
      <w:r w:rsidRPr="007C43BA">
        <w:t>Seale, J., Draffan, E. A., &amp; Wald, M. (2010). Digital agility and digital decision</w:t>
      </w:r>
      <w:r w:rsidRPr="007C43BA">
        <w:rPr>
          <w:rFonts w:ascii="Cambria Math" w:hAnsi="Cambria Math" w:cs="Cambria Math"/>
        </w:rPr>
        <w:t>‐</w:t>
      </w:r>
      <w:r w:rsidRPr="007C43BA">
        <w:t xml:space="preserve">making: conceptualising digital inclusion in the context of disabled learners in higher education. </w:t>
      </w:r>
      <w:r w:rsidRPr="00F763EC">
        <w:rPr>
          <w:i/>
        </w:rPr>
        <w:t>Studies in Higher Education, 35</w:t>
      </w:r>
      <w:r w:rsidRPr="007C43BA">
        <w:t>(4), 445-461.</w:t>
      </w:r>
    </w:p>
    <w:p w14:paraId="19B8B285" w14:textId="31882769" w:rsidR="00CC31C8" w:rsidRPr="002266D7" w:rsidRDefault="00CC31C8" w:rsidP="00B978F2">
      <w:pPr>
        <w:pStyle w:val="Abstract"/>
      </w:pPr>
      <w:r w:rsidRPr="002266D7">
        <w:t>In diesem Artikel wird ein konzeptionelle</w:t>
      </w:r>
      <w:r w:rsidR="009179E2" w:rsidRPr="002266D7">
        <w:t>r</w:t>
      </w:r>
      <w:r w:rsidRPr="002266D7">
        <w:t xml:space="preserve"> Rahmen für die Untersuchung der digitalen Inklusion in der Hochschulbildung vorgestellt.</w:t>
      </w:r>
    </w:p>
    <w:p w14:paraId="5DA56617" w14:textId="23B0B2A8" w:rsidR="000C1810" w:rsidRPr="00CC451D" w:rsidRDefault="00CC31C8" w:rsidP="0083517A">
      <w:pPr>
        <w:pStyle w:val="Literaturhinweisdt"/>
        <w:pageBreakBefore/>
      </w:pPr>
      <w:r w:rsidRPr="00CC451D">
        <w:lastRenderedPageBreak/>
        <w:t xml:space="preserve">Stegmann, K., &amp; Fischer, F. (2016). </w:t>
      </w:r>
      <w:r w:rsidRPr="00F763EC">
        <w:rPr>
          <w:i/>
          <w:iCs/>
        </w:rPr>
        <w:t>Auswirkungen digitaler Medien auf den Wissens-</w:t>
      </w:r>
      <w:r w:rsidR="009179E2" w:rsidRPr="00F763EC">
        <w:rPr>
          <w:i/>
          <w:iCs/>
        </w:rPr>
        <w:t xml:space="preserve"> </w:t>
      </w:r>
      <w:r w:rsidRPr="00F763EC">
        <w:rPr>
          <w:i/>
          <w:iCs/>
        </w:rPr>
        <w:t>und Kompetenzerwerb an der Hochschule</w:t>
      </w:r>
      <w:r w:rsidRPr="00CC451D">
        <w:t xml:space="preserve">. </w:t>
      </w:r>
      <w:r w:rsidR="009179E2" w:rsidRPr="00CC451D">
        <w:t xml:space="preserve">München: </w:t>
      </w:r>
      <w:r w:rsidRPr="00CC451D">
        <w:t>Ludwig-Maximilian</w:t>
      </w:r>
      <w:r w:rsidR="009179E2" w:rsidRPr="00CC451D">
        <w:t>s</w:t>
      </w:r>
      <w:r w:rsidRPr="00CC451D">
        <w:t>-Universität.</w:t>
      </w:r>
    </w:p>
    <w:p w14:paraId="2D4A6F07" w14:textId="018384A1" w:rsidR="000C1810" w:rsidRPr="002266D7" w:rsidRDefault="00CC31C8" w:rsidP="00B978F2">
      <w:pPr>
        <w:pStyle w:val="Abstract"/>
      </w:pPr>
      <w:r w:rsidRPr="002266D7">
        <w:t xml:space="preserve">In diesem Kurzbericht wird der Frage nachgegangen, welche wissenschaftlich gesicherten Erkenntnisse es zu den Wirkungen unterschiedlicher Arten und Nutzungsformen von digitalen Medien auf den Wissens- und Kompetenzerwerb </w:t>
      </w:r>
      <w:r w:rsidR="007A704B" w:rsidRPr="002266D7">
        <w:t xml:space="preserve">an </w:t>
      </w:r>
      <w:r w:rsidRPr="002266D7">
        <w:t>Hochschule</w:t>
      </w:r>
      <w:r w:rsidR="005A3B2D" w:rsidRPr="002266D7">
        <w:t>n</w:t>
      </w:r>
      <w:r w:rsidRPr="002266D7">
        <w:t xml:space="preserve"> gibt.</w:t>
      </w:r>
    </w:p>
    <w:p w14:paraId="198B0E33" w14:textId="71C05EE8" w:rsidR="007A704B" w:rsidRPr="002E1F81" w:rsidRDefault="0084774F" w:rsidP="00B978F2">
      <w:pPr>
        <w:pStyle w:val="Abstract"/>
        <w:rPr>
          <w:rStyle w:val="Hyperlink"/>
        </w:rPr>
      </w:pPr>
      <w:hyperlink r:id="rId14" w:history="1">
        <w:r w:rsidR="007A704B" w:rsidRPr="002E1F81">
          <w:rPr>
            <w:rStyle w:val="Hyperlink"/>
          </w:rPr>
          <w:t>Link zum Kurzbericht</w:t>
        </w:r>
      </w:hyperlink>
    </w:p>
    <w:p w14:paraId="1B921DE3" w14:textId="56C2AD38" w:rsidR="00CC31C8" w:rsidRPr="00CC451D" w:rsidRDefault="00CC31C8" w:rsidP="0083517A">
      <w:pPr>
        <w:pStyle w:val="Literaturhinweisdt"/>
        <w:keepNext/>
      </w:pPr>
      <w:r w:rsidRPr="00CC451D">
        <w:t xml:space="preserve">Tarantini, E. (2020). </w:t>
      </w:r>
      <w:r w:rsidRPr="00C745F4">
        <w:rPr>
          <w:i/>
          <w:iCs/>
        </w:rPr>
        <w:t>Social Video Learning in der Lehrerbildung – Professionalisierung durch Reflexionsprozesse</w:t>
      </w:r>
      <w:r w:rsidR="00C745F4" w:rsidRPr="00C745F4">
        <w:rPr>
          <w:i/>
          <w:iCs/>
        </w:rPr>
        <w:t>:</w:t>
      </w:r>
      <w:r w:rsidRPr="00C745F4">
        <w:rPr>
          <w:i/>
          <w:iCs/>
        </w:rPr>
        <w:t xml:space="preserve"> Theoretische Fundierung und empirische Untersuchung im Hochschulkontext</w:t>
      </w:r>
      <w:r w:rsidRPr="00CC451D">
        <w:t xml:space="preserve">. </w:t>
      </w:r>
      <w:r w:rsidR="00EE15DB">
        <w:t xml:space="preserve">15. </w:t>
      </w:r>
      <w:r w:rsidRPr="00CC451D">
        <w:t>Jahrestagung</w:t>
      </w:r>
      <w:r w:rsidR="003E3B9C">
        <w:t xml:space="preserve"> der Gesellschaft für Hochschulforschung</w:t>
      </w:r>
      <w:r w:rsidR="00EE15DB">
        <w:t>, Hamburg</w:t>
      </w:r>
      <w:r w:rsidRPr="00CC451D">
        <w:t>.</w:t>
      </w:r>
    </w:p>
    <w:p w14:paraId="4F9145BC" w14:textId="06D47F14" w:rsidR="00CC31C8" w:rsidRPr="002266D7" w:rsidRDefault="00CC31C8" w:rsidP="00B978F2">
      <w:pPr>
        <w:pStyle w:val="Abstract"/>
      </w:pPr>
      <w:r w:rsidRPr="002266D7">
        <w:t>Der vorliegende Beitrag beschreibt die Gestaltung und Erprobung eines Kursdesigns in der Lehrerbildung an der Universität St</w:t>
      </w:r>
      <w:r w:rsidR="00E75B34" w:rsidRPr="002266D7">
        <w:t xml:space="preserve">. </w:t>
      </w:r>
      <w:r w:rsidRPr="002266D7">
        <w:t xml:space="preserve">Gallen unter Verwendung von Social Video Learning (SVL). Hierzu wurde die Methode des „Conjecture Mapping“ genutzt. </w:t>
      </w:r>
    </w:p>
    <w:p w14:paraId="132D26F3" w14:textId="1A17CFEC" w:rsidR="00CC31C8" w:rsidRPr="002E1F81" w:rsidRDefault="0084774F" w:rsidP="00B978F2">
      <w:pPr>
        <w:pStyle w:val="Abstract"/>
        <w:rPr>
          <w:rStyle w:val="Hyperlink"/>
        </w:rPr>
      </w:pPr>
      <w:hyperlink r:id="rId15" w:history="1">
        <w:r w:rsidR="00CC31C8" w:rsidRPr="002E1F81">
          <w:rPr>
            <w:rStyle w:val="Hyperlink"/>
          </w:rPr>
          <w:t>Link zum Vortrag</w:t>
        </w:r>
      </w:hyperlink>
    </w:p>
    <w:p w14:paraId="463BF019" w14:textId="77777777" w:rsidR="00CC31C8" w:rsidRPr="007C43BA" w:rsidRDefault="00CC31C8" w:rsidP="00DA1F97">
      <w:pPr>
        <w:pStyle w:val="Literaturhinweisengl"/>
      </w:pPr>
      <w:r w:rsidRPr="007C43BA">
        <w:t xml:space="preserve">Thomas, D. A., &amp; Nedeva, M. (2018). Broad online learning EdTech and USA universities: symbiotic relationships in a post-MOOC world. </w:t>
      </w:r>
      <w:r w:rsidRPr="00C745F4">
        <w:rPr>
          <w:i/>
        </w:rPr>
        <w:t>Studies in Higher Education, 43</w:t>
      </w:r>
      <w:r w:rsidRPr="007C43BA">
        <w:t>(10), 1730-1749.</w:t>
      </w:r>
    </w:p>
    <w:p w14:paraId="0476D54A" w14:textId="5E1C2887" w:rsidR="00CC31C8" w:rsidRPr="002266D7" w:rsidRDefault="00CC31C8" w:rsidP="00B978F2">
      <w:pPr>
        <w:pStyle w:val="Abstract"/>
      </w:pPr>
      <w:r w:rsidRPr="002266D7">
        <w:t>I</w:t>
      </w:r>
      <w:r w:rsidR="00521A80" w:rsidRPr="002266D7">
        <w:t xml:space="preserve">n dieser Studie wird die Einstellung von Hochschulen zu </w:t>
      </w:r>
      <w:r w:rsidR="007A704B" w:rsidRPr="002266D7">
        <w:t>Massive Open Online Courses (</w:t>
      </w:r>
      <w:r w:rsidRPr="002266D7">
        <w:t>MOOCs</w:t>
      </w:r>
      <w:r w:rsidR="007A704B" w:rsidRPr="002266D7">
        <w:t>)</w:t>
      </w:r>
      <w:r w:rsidRPr="002266D7">
        <w:t xml:space="preserve"> im US-amerikanischen Raum diskutiert.</w:t>
      </w:r>
    </w:p>
    <w:p w14:paraId="5DE12211" w14:textId="77777777" w:rsidR="00CC31C8" w:rsidRPr="007C43BA" w:rsidRDefault="00CC31C8" w:rsidP="00DA1F97">
      <w:pPr>
        <w:pStyle w:val="Literaturhinweisengl"/>
      </w:pPr>
      <w:r w:rsidRPr="007C43BA">
        <w:t xml:space="preserve">Tømte, C. E., Fossland, T., Aamodt, P. O., &amp; Degn, L. (2019). Digitalisation in higher education: mapping institutional approaches for teaching and learning. </w:t>
      </w:r>
      <w:r w:rsidRPr="00C745F4">
        <w:rPr>
          <w:i/>
        </w:rPr>
        <w:t>Quality in Higher Education, 25</w:t>
      </w:r>
      <w:r w:rsidRPr="007C43BA">
        <w:t>(1), 98-114.</w:t>
      </w:r>
    </w:p>
    <w:p w14:paraId="20E4CA22" w14:textId="7CD9510B" w:rsidR="00CC31C8" w:rsidRPr="002266D7" w:rsidRDefault="00CC31C8" w:rsidP="00B978F2">
      <w:pPr>
        <w:pStyle w:val="Abstract"/>
      </w:pPr>
      <w:r w:rsidRPr="002266D7">
        <w:t>Dieser Artikel untersucht die Digitalisierung des Lehrens und Lernens in Dänemark und Norwegen und legt den Fokus auf den Einfluss von S</w:t>
      </w:r>
      <w:r w:rsidR="00521A80" w:rsidRPr="002266D7">
        <w:t xml:space="preserve">taat, Hochschule </w:t>
      </w:r>
      <w:r w:rsidRPr="002266D7">
        <w:t>und internationalen Trends.</w:t>
      </w:r>
    </w:p>
    <w:p w14:paraId="042B39AC" w14:textId="08C6038E" w:rsidR="00CC31C8" w:rsidRPr="007C43BA" w:rsidRDefault="00CC31C8" w:rsidP="00DA1F97">
      <w:pPr>
        <w:pStyle w:val="Literaturhinweisengl"/>
      </w:pPr>
      <w:r w:rsidRPr="007C43BA">
        <w:t xml:space="preserve">Waheed, M., &amp; Leisyte, L. (2020). Scandinavian students’ perspective on learning from digital learning environment: The potential role of interactive quality. </w:t>
      </w:r>
      <w:r w:rsidRPr="007C43BA">
        <w:rPr>
          <w:i/>
        </w:rPr>
        <w:t>EPiC Series in Education Science</w:t>
      </w:r>
      <w:r w:rsidRPr="007C43BA">
        <w:t>, 3, 262-268.</w:t>
      </w:r>
    </w:p>
    <w:p w14:paraId="09501B42" w14:textId="67820146" w:rsidR="00CC31C8" w:rsidRDefault="00CC31C8" w:rsidP="00B978F2">
      <w:pPr>
        <w:pStyle w:val="Abstract"/>
      </w:pPr>
      <w:r w:rsidRPr="002266D7">
        <w:t xml:space="preserve">In dieser Studie wird die </w:t>
      </w:r>
      <w:r w:rsidR="00E14C69" w:rsidRPr="002266D7">
        <w:t xml:space="preserve">Relevanz </w:t>
      </w:r>
      <w:r w:rsidRPr="002266D7">
        <w:t xml:space="preserve">von Interaktionen </w:t>
      </w:r>
      <w:r w:rsidR="00521A80" w:rsidRPr="002266D7">
        <w:t xml:space="preserve">zwischen Lehrenden und Studierenden </w:t>
      </w:r>
      <w:r w:rsidRPr="002266D7">
        <w:t>für das Lernen in digitalen Lernumgebung</w:t>
      </w:r>
      <w:r w:rsidR="00E14C69" w:rsidRPr="002266D7">
        <w:t>en</w:t>
      </w:r>
      <w:r w:rsidRPr="002266D7">
        <w:t xml:space="preserve"> </w:t>
      </w:r>
      <w:r w:rsidR="009203A0" w:rsidRPr="002266D7">
        <w:t>aus studentischer Sicht</w:t>
      </w:r>
      <w:r w:rsidR="007975B8" w:rsidRPr="002266D7">
        <w:t xml:space="preserve"> </w:t>
      </w:r>
      <w:r w:rsidRPr="002266D7">
        <w:t>untersucht.</w:t>
      </w:r>
    </w:p>
    <w:p w14:paraId="0177CB81" w14:textId="10578BAC" w:rsidR="0079025D" w:rsidRPr="002266D7" w:rsidRDefault="0084774F" w:rsidP="00B978F2">
      <w:pPr>
        <w:pStyle w:val="Abstract"/>
      </w:pPr>
      <w:hyperlink r:id="rId16" w:history="1">
        <w:r w:rsidR="0079025D" w:rsidRPr="0079025D">
          <w:rPr>
            <w:rStyle w:val="Hyperlink"/>
          </w:rPr>
          <w:t>Link zum Beitrag</w:t>
        </w:r>
      </w:hyperlink>
    </w:p>
    <w:p w14:paraId="6132670D" w14:textId="77777777" w:rsidR="00CC31C8" w:rsidRPr="007C43BA" w:rsidRDefault="00CC31C8" w:rsidP="00DA1F97">
      <w:pPr>
        <w:pStyle w:val="Literaturhinweisengl"/>
      </w:pPr>
      <w:r w:rsidRPr="007C43BA">
        <w:t xml:space="preserve">Waheed, M., Kaur, K., Ain, N., &amp; Hussain, N. (2016). Perceived learning outcomes from Moodle: An empirical study of intrinsic and extrinsic motivating factors. </w:t>
      </w:r>
      <w:r w:rsidRPr="00C745F4">
        <w:rPr>
          <w:i/>
        </w:rPr>
        <w:t>Information Development, 32</w:t>
      </w:r>
      <w:r w:rsidRPr="007C43BA">
        <w:t>(4), 1001-1013.</w:t>
      </w:r>
    </w:p>
    <w:p w14:paraId="65A840C7" w14:textId="5B150A8C" w:rsidR="00CC31C8" w:rsidRPr="002266D7" w:rsidRDefault="00CC31C8" w:rsidP="00B978F2">
      <w:pPr>
        <w:pStyle w:val="Abstract"/>
      </w:pPr>
      <w:r w:rsidRPr="002266D7">
        <w:t xml:space="preserve">Diese Studie untersucht die intrinsischen und </w:t>
      </w:r>
      <w:r w:rsidR="00521A80" w:rsidRPr="002266D7">
        <w:t xml:space="preserve">extrinsischen Eigenschaften der Lernplattform Moodle </w:t>
      </w:r>
      <w:r w:rsidRPr="002266D7">
        <w:t>und wie diese die Lerneffektivität und Leistung von Studierenden beeinflussen.</w:t>
      </w:r>
    </w:p>
    <w:p w14:paraId="02C9F115" w14:textId="44913071" w:rsidR="00CC31C8" w:rsidRPr="00CC451D" w:rsidRDefault="00CC31C8" w:rsidP="0083517A">
      <w:pPr>
        <w:pStyle w:val="Literaturhinweisdt"/>
        <w:pageBreakBefore/>
      </w:pPr>
      <w:r w:rsidRPr="00CC451D">
        <w:lastRenderedPageBreak/>
        <w:t xml:space="preserve">Wolf G., &amp; Kothe, C. (2020). </w:t>
      </w:r>
      <w:r w:rsidRPr="00C745F4">
        <w:rPr>
          <w:i/>
          <w:iCs/>
        </w:rPr>
        <w:t>Digitalisierte Lehrveranstaltungsevaluation und Feedback</w:t>
      </w:r>
      <w:r w:rsidR="00C745F4" w:rsidRPr="00C745F4">
        <w:rPr>
          <w:i/>
          <w:iCs/>
        </w:rPr>
        <w:t>:</w:t>
      </w:r>
      <w:r w:rsidRPr="00C745F4">
        <w:rPr>
          <w:i/>
          <w:iCs/>
        </w:rPr>
        <w:t xml:space="preserve"> Perspektiven von Lehrenden und Evaluationsverantwortlichen</w:t>
      </w:r>
      <w:r w:rsidRPr="00CC451D">
        <w:t xml:space="preserve">. </w:t>
      </w:r>
      <w:r w:rsidR="00EE15DB">
        <w:t xml:space="preserve">15. </w:t>
      </w:r>
      <w:r w:rsidR="003E3B9C" w:rsidRPr="00CC451D">
        <w:t>Jahrestagung</w:t>
      </w:r>
      <w:r w:rsidR="003E3B9C">
        <w:t xml:space="preserve"> der Gesellschaft für Hochschulforschung</w:t>
      </w:r>
      <w:r w:rsidR="00C745F4">
        <w:t>, Hamburg</w:t>
      </w:r>
      <w:r w:rsidRPr="00CC451D">
        <w:t>.</w:t>
      </w:r>
    </w:p>
    <w:p w14:paraId="18325D7E" w14:textId="7B75C7E0" w:rsidR="00CC31C8" w:rsidRPr="002266D7" w:rsidRDefault="00CC31C8" w:rsidP="00B978F2">
      <w:pPr>
        <w:pStyle w:val="Abstract"/>
      </w:pPr>
      <w:r w:rsidRPr="002266D7">
        <w:t xml:space="preserve">In diesem Vortrag werden Perspektiven von Lehrenden und Evaluationsverantwortlichen auf eine Form der digitalisierten Lehrveranstaltungsevaluation vorgestellt, die direktes Feedback und </w:t>
      </w:r>
      <w:r w:rsidR="00140B26" w:rsidRPr="002266D7">
        <w:t xml:space="preserve">den </w:t>
      </w:r>
      <w:r w:rsidRPr="002266D7">
        <w:t>interaktiven Dialog zwischen Lehrenden und Studierenden erleichtert.</w:t>
      </w:r>
    </w:p>
    <w:p w14:paraId="5F395A5B" w14:textId="579BBE25" w:rsidR="00CC31C8" w:rsidRPr="002E1F81" w:rsidRDefault="0084774F" w:rsidP="00B978F2">
      <w:pPr>
        <w:pStyle w:val="Abstract"/>
        <w:rPr>
          <w:rStyle w:val="Hyperlink"/>
        </w:rPr>
      </w:pPr>
      <w:hyperlink r:id="rId17" w:history="1">
        <w:r w:rsidR="00CC31C8" w:rsidRPr="002E1F81">
          <w:rPr>
            <w:rStyle w:val="Hyperlink"/>
          </w:rPr>
          <w:t>Link zum Vortrag</w:t>
        </w:r>
      </w:hyperlink>
    </w:p>
    <w:sectPr w:rsidR="00CC31C8" w:rsidRPr="002E1F81" w:rsidSect="009A70AA">
      <w:headerReference w:type="default" r:id="rId18"/>
      <w:footerReference w:type="default" r:id="rId19"/>
      <w:pgSz w:w="11906" w:h="16838"/>
      <w:pgMar w:top="1702" w:right="1134" w:bottom="1134" w:left="1134"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F529C" w14:textId="77777777" w:rsidR="0084774F" w:rsidRDefault="0084774F" w:rsidP="00930F95">
      <w:pPr>
        <w:spacing w:after="0" w:line="240" w:lineRule="auto"/>
      </w:pPr>
      <w:r>
        <w:separator/>
      </w:r>
    </w:p>
  </w:endnote>
  <w:endnote w:type="continuationSeparator" w:id="0">
    <w:p w14:paraId="0171EA5F" w14:textId="77777777" w:rsidR="0084774F" w:rsidRDefault="0084774F" w:rsidP="00930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5620E" w14:textId="7D099F4A" w:rsidR="008D1F89" w:rsidRDefault="003D147E" w:rsidP="00944879">
    <w:pPr>
      <w:pStyle w:val="SeitenzahlinFuzeile"/>
    </w:pPr>
    <w:r>
      <w:rPr>
        <w:noProof/>
      </w:rPr>
      <w:drawing>
        <wp:anchor distT="0" distB="0" distL="114300" distR="114300" simplePos="0" relativeHeight="251660288" behindDoc="1" locked="0" layoutInCell="1" allowOverlap="1" wp14:anchorId="06D81B2E" wp14:editId="2744B8EE">
          <wp:simplePos x="0" y="0"/>
          <wp:positionH relativeFrom="leftMargin">
            <wp:posOffset>495300</wp:posOffset>
          </wp:positionH>
          <wp:positionV relativeFrom="paragraph">
            <wp:posOffset>0</wp:posOffset>
          </wp:positionV>
          <wp:extent cx="1472400" cy="396000"/>
          <wp:effectExtent l="0" t="0" r="0" b="4445"/>
          <wp:wrapNone/>
          <wp:docPr id="3" name="Grafik 3" descr="Logo des Bereich Hochschuldidaktik im Zentrum für HochschulBildung: zhb.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hb_deutsch_RGB_300dpi.jpg"/>
                  <pic:cNvPicPr/>
                </pic:nvPicPr>
                <pic:blipFill>
                  <a:blip r:embed="rId1">
                    <a:extLst>
                      <a:ext uri="{28A0092B-C50C-407E-A947-70E740481C1C}">
                        <a14:useLocalDpi xmlns:a14="http://schemas.microsoft.com/office/drawing/2010/main" val="0"/>
                      </a:ext>
                    </a:extLst>
                  </a:blip>
                  <a:stretch>
                    <a:fillRect/>
                  </a:stretch>
                </pic:blipFill>
                <pic:spPr>
                  <a:xfrm>
                    <a:off x="0" y="0"/>
                    <a:ext cx="1472400" cy="396000"/>
                  </a:xfrm>
                  <a:prstGeom prst="rect">
                    <a:avLst/>
                  </a:prstGeom>
                </pic:spPr>
              </pic:pic>
            </a:graphicData>
          </a:graphic>
          <wp14:sizeRelH relativeFrom="margin">
            <wp14:pctWidth>0</wp14:pctWidth>
          </wp14:sizeRelH>
          <wp14:sizeRelV relativeFrom="margin">
            <wp14:pctHeight>0</wp14:pctHeight>
          </wp14:sizeRelV>
        </wp:anchor>
      </w:drawing>
    </w:r>
    <w:r w:rsidR="00AA747F">
      <w:fldChar w:fldCharType="begin"/>
    </w:r>
    <w:r w:rsidR="00AA747F">
      <w:instrText xml:space="preserve"> PAGE   \* MERGEFORMAT </w:instrText>
    </w:r>
    <w:r w:rsidR="00AA747F">
      <w:fldChar w:fldCharType="separate"/>
    </w:r>
    <w:r w:rsidR="00BD06AA">
      <w:rPr>
        <w:noProof/>
      </w:rPr>
      <w:t>2</w:t>
    </w:r>
    <w:r w:rsidR="00AA747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503A0" w14:textId="77777777" w:rsidR="0084774F" w:rsidRDefault="0084774F" w:rsidP="00930F95">
      <w:pPr>
        <w:spacing w:after="0" w:line="240" w:lineRule="auto"/>
      </w:pPr>
      <w:r>
        <w:separator/>
      </w:r>
    </w:p>
  </w:footnote>
  <w:footnote w:type="continuationSeparator" w:id="0">
    <w:p w14:paraId="445A295D" w14:textId="77777777" w:rsidR="0084774F" w:rsidRDefault="0084774F" w:rsidP="00930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188F" w14:textId="77777777" w:rsidR="00930F95" w:rsidRDefault="001E6757" w:rsidP="007905B0">
    <w:pPr>
      <w:pStyle w:val="Kopfzeile"/>
    </w:pPr>
    <w:r>
      <w:rPr>
        <w:noProof/>
        <w:lang w:val="en-GB" w:eastAsia="en-GB"/>
      </w:rPr>
      <w:drawing>
        <wp:anchor distT="0" distB="0" distL="114300" distR="114300" simplePos="0" relativeHeight="251659264" behindDoc="0" locked="0" layoutInCell="1" allowOverlap="1" wp14:anchorId="05146F35" wp14:editId="0C41D903">
          <wp:simplePos x="0" y="0"/>
          <wp:positionH relativeFrom="rightMargin">
            <wp:posOffset>-887094</wp:posOffset>
          </wp:positionH>
          <wp:positionV relativeFrom="topMargin">
            <wp:posOffset>314325</wp:posOffset>
          </wp:positionV>
          <wp:extent cx="1104900" cy="582583"/>
          <wp:effectExtent l="0" t="0" r="0" b="8255"/>
          <wp:wrapNone/>
          <wp:docPr id="1" name="Grafik 1" descr="Das Logo der Professur für Hochschuldidaktik und Hochschulforschung: Hd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HdHf_RGB_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725" cy="586709"/>
                  </a:xfrm>
                  <a:prstGeom prst="rect">
                    <a:avLst/>
                  </a:prstGeom>
                </pic:spPr>
              </pic:pic>
            </a:graphicData>
          </a:graphic>
          <wp14:sizeRelH relativeFrom="margin">
            <wp14:pctWidth>0</wp14:pctWidth>
          </wp14:sizeRelH>
          <wp14:sizeRelV relativeFrom="margin">
            <wp14:pctHeight>0</wp14:pctHeight>
          </wp14:sizeRelV>
        </wp:anchor>
      </w:drawing>
    </w:r>
    <w:r w:rsidR="00AE322E">
      <w:rPr>
        <w:noProof/>
        <w:lang w:eastAsia="de-DE"/>
      </w:rPr>
      <w:t xml:space="preserve"> </w:t>
    </w:r>
    <w:r w:rsidR="00671793">
      <w:rPr>
        <w:noProof/>
        <w:lang w:val="en-GB" w:eastAsia="en-GB"/>
      </w:rPr>
      <w:drawing>
        <wp:anchor distT="0" distB="0" distL="114300" distR="114300" simplePos="0" relativeHeight="251658240" behindDoc="0" locked="0" layoutInCell="1" allowOverlap="1" wp14:anchorId="66353025" wp14:editId="6EF68160">
          <wp:simplePos x="0" y="0"/>
          <wp:positionH relativeFrom="leftMargin">
            <wp:posOffset>541020</wp:posOffset>
          </wp:positionH>
          <wp:positionV relativeFrom="page">
            <wp:posOffset>356235</wp:posOffset>
          </wp:positionV>
          <wp:extent cx="2646000" cy="428400"/>
          <wp:effectExtent l="0" t="0" r="2540" b="0"/>
          <wp:wrapNone/>
          <wp:docPr id="2" name="Grafik 2" descr="Das Logo der Technischen Universität Dortm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d_logo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46000" cy="42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C3C23"/>
    <w:multiLevelType w:val="hybridMultilevel"/>
    <w:tmpl w:val="175A55F0"/>
    <w:lvl w:ilvl="0" w:tplc="CB1A2916">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2E3862"/>
    <w:multiLevelType w:val="hybridMultilevel"/>
    <w:tmpl w:val="16D8BC6A"/>
    <w:lvl w:ilvl="0" w:tplc="CB588E3A">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D1A1DB3"/>
    <w:multiLevelType w:val="hybridMultilevel"/>
    <w:tmpl w:val="30AA6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72B7D41"/>
    <w:multiLevelType w:val="multilevel"/>
    <w:tmpl w:val="EE40B4E4"/>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C0"/>
    <w:rsid w:val="000059B0"/>
    <w:rsid w:val="0001282E"/>
    <w:rsid w:val="00013F36"/>
    <w:rsid w:val="00025F48"/>
    <w:rsid w:val="0004567E"/>
    <w:rsid w:val="000472C8"/>
    <w:rsid w:val="000603A8"/>
    <w:rsid w:val="000778B9"/>
    <w:rsid w:val="000A0A63"/>
    <w:rsid w:val="000B0821"/>
    <w:rsid w:val="000C1810"/>
    <w:rsid w:val="000C66FA"/>
    <w:rsid w:val="000D11E9"/>
    <w:rsid w:val="001024DC"/>
    <w:rsid w:val="00113DE3"/>
    <w:rsid w:val="00127B02"/>
    <w:rsid w:val="00140B26"/>
    <w:rsid w:val="00154637"/>
    <w:rsid w:val="001722BE"/>
    <w:rsid w:val="0017387B"/>
    <w:rsid w:val="0019369D"/>
    <w:rsid w:val="001A51E7"/>
    <w:rsid w:val="001B1451"/>
    <w:rsid w:val="001C3D45"/>
    <w:rsid w:val="001D487A"/>
    <w:rsid w:val="001E03F3"/>
    <w:rsid w:val="001E43E1"/>
    <w:rsid w:val="001E6757"/>
    <w:rsid w:val="00200BEC"/>
    <w:rsid w:val="00221F92"/>
    <w:rsid w:val="002266D7"/>
    <w:rsid w:val="00232058"/>
    <w:rsid w:val="00237675"/>
    <w:rsid w:val="0024028F"/>
    <w:rsid w:val="002419A5"/>
    <w:rsid w:val="00246E88"/>
    <w:rsid w:val="002470CF"/>
    <w:rsid w:val="0026694E"/>
    <w:rsid w:val="002703FE"/>
    <w:rsid w:val="002722F6"/>
    <w:rsid w:val="00276521"/>
    <w:rsid w:val="002765EC"/>
    <w:rsid w:val="00294006"/>
    <w:rsid w:val="002A71A6"/>
    <w:rsid w:val="002B1FED"/>
    <w:rsid w:val="002B6462"/>
    <w:rsid w:val="002C28B7"/>
    <w:rsid w:val="002D181E"/>
    <w:rsid w:val="002D4CE4"/>
    <w:rsid w:val="002D7907"/>
    <w:rsid w:val="002E1F81"/>
    <w:rsid w:val="00360F2E"/>
    <w:rsid w:val="00365028"/>
    <w:rsid w:val="0037774B"/>
    <w:rsid w:val="00385DF8"/>
    <w:rsid w:val="00390A34"/>
    <w:rsid w:val="00392D52"/>
    <w:rsid w:val="0039727C"/>
    <w:rsid w:val="003B7805"/>
    <w:rsid w:val="003D147E"/>
    <w:rsid w:val="003D1E8D"/>
    <w:rsid w:val="003E3B9C"/>
    <w:rsid w:val="0041242D"/>
    <w:rsid w:val="00431A59"/>
    <w:rsid w:val="004374F7"/>
    <w:rsid w:val="0044554E"/>
    <w:rsid w:val="004464A8"/>
    <w:rsid w:val="004952D1"/>
    <w:rsid w:val="004952DC"/>
    <w:rsid w:val="0049725E"/>
    <w:rsid w:val="004A3DB4"/>
    <w:rsid w:val="004A79F3"/>
    <w:rsid w:val="004B3977"/>
    <w:rsid w:val="004B73BF"/>
    <w:rsid w:val="004D70C9"/>
    <w:rsid w:val="004F0CF7"/>
    <w:rsid w:val="005123F7"/>
    <w:rsid w:val="00521A80"/>
    <w:rsid w:val="00525AC7"/>
    <w:rsid w:val="005324E3"/>
    <w:rsid w:val="00532E3B"/>
    <w:rsid w:val="005560FF"/>
    <w:rsid w:val="0055737E"/>
    <w:rsid w:val="00565D73"/>
    <w:rsid w:val="005913DB"/>
    <w:rsid w:val="005A3B2D"/>
    <w:rsid w:val="005A7C20"/>
    <w:rsid w:val="005B0CE4"/>
    <w:rsid w:val="005B60D2"/>
    <w:rsid w:val="005D1E30"/>
    <w:rsid w:val="005D3848"/>
    <w:rsid w:val="005E1AD2"/>
    <w:rsid w:val="005F0FD5"/>
    <w:rsid w:val="005F57A1"/>
    <w:rsid w:val="00602A1A"/>
    <w:rsid w:val="00616D82"/>
    <w:rsid w:val="006454F3"/>
    <w:rsid w:val="00671793"/>
    <w:rsid w:val="00675438"/>
    <w:rsid w:val="0068687C"/>
    <w:rsid w:val="00696401"/>
    <w:rsid w:val="006A1E73"/>
    <w:rsid w:val="006A22D4"/>
    <w:rsid w:val="006A2A9F"/>
    <w:rsid w:val="006F1F68"/>
    <w:rsid w:val="007165DA"/>
    <w:rsid w:val="0073509F"/>
    <w:rsid w:val="00737D79"/>
    <w:rsid w:val="00741BCB"/>
    <w:rsid w:val="00745793"/>
    <w:rsid w:val="007507DE"/>
    <w:rsid w:val="00762020"/>
    <w:rsid w:val="00770B1E"/>
    <w:rsid w:val="0077788F"/>
    <w:rsid w:val="00785D54"/>
    <w:rsid w:val="0079025D"/>
    <w:rsid w:val="007905B0"/>
    <w:rsid w:val="007975B8"/>
    <w:rsid w:val="007A6E7F"/>
    <w:rsid w:val="007A704B"/>
    <w:rsid w:val="007B1177"/>
    <w:rsid w:val="007C36B4"/>
    <w:rsid w:val="007C43BA"/>
    <w:rsid w:val="007C7816"/>
    <w:rsid w:val="007D5A91"/>
    <w:rsid w:val="007E357E"/>
    <w:rsid w:val="007E4175"/>
    <w:rsid w:val="007E6175"/>
    <w:rsid w:val="007F137D"/>
    <w:rsid w:val="007F19F3"/>
    <w:rsid w:val="00820C59"/>
    <w:rsid w:val="0082643D"/>
    <w:rsid w:val="00833FFE"/>
    <w:rsid w:val="0083517A"/>
    <w:rsid w:val="008419C0"/>
    <w:rsid w:val="0084774F"/>
    <w:rsid w:val="008563A4"/>
    <w:rsid w:val="00861356"/>
    <w:rsid w:val="00865761"/>
    <w:rsid w:val="008738D2"/>
    <w:rsid w:val="00893D69"/>
    <w:rsid w:val="008A1757"/>
    <w:rsid w:val="008A7A0F"/>
    <w:rsid w:val="008B1060"/>
    <w:rsid w:val="008B7487"/>
    <w:rsid w:val="008D1F89"/>
    <w:rsid w:val="008D40F8"/>
    <w:rsid w:val="008F54B6"/>
    <w:rsid w:val="00905260"/>
    <w:rsid w:val="009132FC"/>
    <w:rsid w:val="00914B87"/>
    <w:rsid w:val="009179E2"/>
    <w:rsid w:val="009203A0"/>
    <w:rsid w:val="00920C75"/>
    <w:rsid w:val="00930F95"/>
    <w:rsid w:val="00943973"/>
    <w:rsid w:val="00944879"/>
    <w:rsid w:val="00962F6D"/>
    <w:rsid w:val="00966371"/>
    <w:rsid w:val="0097232B"/>
    <w:rsid w:val="00973447"/>
    <w:rsid w:val="00980D6D"/>
    <w:rsid w:val="00983CF9"/>
    <w:rsid w:val="00992C5A"/>
    <w:rsid w:val="00995F95"/>
    <w:rsid w:val="009A62D7"/>
    <w:rsid w:val="009A70AA"/>
    <w:rsid w:val="009B6783"/>
    <w:rsid w:val="009C5EB2"/>
    <w:rsid w:val="009E2D7C"/>
    <w:rsid w:val="00A0455F"/>
    <w:rsid w:val="00A21293"/>
    <w:rsid w:val="00A66380"/>
    <w:rsid w:val="00A66980"/>
    <w:rsid w:val="00A904A1"/>
    <w:rsid w:val="00AA747F"/>
    <w:rsid w:val="00AD7BDB"/>
    <w:rsid w:val="00AE322E"/>
    <w:rsid w:val="00AE5C5E"/>
    <w:rsid w:val="00B10FD9"/>
    <w:rsid w:val="00B15EC0"/>
    <w:rsid w:val="00B2364C"/>
    <w:rsid w:val="00B454E4"/>
    <w:rsid w:val="00B70263"/>
    <w:rsid w:val="00B85E16"/>
    <w:rsid w:val="00B978F2"/>
    <w:rsid w:val="00BA1EF7"/>
    <w:rsid w:val="00BB7EE5"/>
    <w:rsid w:val="00BC7B19"/>
    <w:rsid w:val="00BD06AA"/>
    <w:rsid w:val="00BD280C"/>
    <w:rsid w:val="00BF3BB9"/>
    <w:rsid w:val="00C04428"/>
    <w:rsid w:val="00C5353E"/>
    <w:rsid w:val="00C62228"/>
    <w:rsid w:val="00C745F4"/>
    <w:rsid w:val="00C80D0A"/>
    <w:rsid w:val="00C81DD6"/>
    <w:rsid w:val="00C93FF4"/>
    <w:rsid w:val="00CA020E"/>
    <w:rsid w:val="00CA34B7"/>
    <w:rsid w:val="00CB21F9"/>
    <w:rsid w:val="00CC31C8"/>
    <w:rsid w:val="00CC451D"/>
    <w:rsid w:val="00CE3323"/>
    <w:rsid w:val="00CF3233"/>
    <w:rsid w:val="00D041F0"/>
    <w:rsid w:val="00D12749"/>
    <w:rsid w:val="00D21D97"/>
    <w:rsid w:val="00D22BB9"/>
    <w:rsid w:val="00D25797"/>
    <w:rsid w:val="00D40C03"/>
    <w:rsid w:val="00D43095"/>
    <w:rsid w:val="00D54307"/>
    <w:rsid w:val="00D655CB"/>
    <w:rsid w:val="00D65F3C"/>
    <w:rsid w:val="00D90DD7"/>
    <w:rsid w:val="00DA1F97"/>
    <w:rsid w:val="00DA1FBF"/>
    <w:rsid w:val="00DA2217"/>
    <w:rsid w:val="00DA5DFF"/>
    <w:rsid w:val="00DA6EB1"/>
    <w:rsid w:val="00DB25A0"/>
    <w:rsid w:val="00DD0A5D"/>
    <w:rsid w:val="00E14C69"/>
    <w:rsid w:val="00E17737"/>
    <w:rsid w:val="00E20FE1"/>
    <w:rsid w:val="00E5254C"/>
    <w:rsid w:val="00E56431"/>
    <w:rsid w:val="00E75B34"/>
    <w:rsid w:val="00E8071C"/>
    <w:rsid w:val="00E90791"/>
    <w:rsid w:val="00E92DA4"/>
    <w:rsid w:val="00EB6E6C"/>
    <w:rsid w:val="00EE15DB"/>
    <w:rsid w:val="00EF10BA"/>
    <w:rsid w:val="00F20F05"/>
    <w:rsid w:val="00F311F1"/>
    <w:rsid w:val="00F317B4"/>
    <w:rsid w:val="00F44019"/>
    <w:rsid w:val="00F5311C"/>
    <w:rsid w:val="00F5603C"/>
    <w:rsid w:val="00F56FD6"/>
    <w:rsid w:val="00F57567"/>
    <w:rsid w:val="00F7069B"/>
    <w:rsid w:val="00F763EC"/>
    <w:rsid w:val="00F84420"/>
    <w:rsid w:val="00FB2E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B3145"/>
  <w15:chartTrackingRefBased/>
  <w15:docId w15:val="{D62CBDA0-4A56-4EE3-81FE-FC9BD166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21F9"/>
    <w:rPr>
      <w:rFonts w:ascii="Arial" w:hAnsi="Arial"/>
    </w:rPr>
  </w:style>
  <w:style w:type="paragraph" w:styleId="berschrift1">
    <w:name w:val="heading 1"/>
    <w:basedOn w:val="Standard"/>
    <w:next w:val="Standard"/>
    <w:link w:val="berschrift1Zchn"/>
    <w:autoRedefine/>
    <w:uiPriority w:val="9"/>
    <w:qFormat/>
    <w:rsid w:val="00CB21F9"/>
    <w:pPr>
      <w:keepNext/>
      <w:keepLines/>
      <w:pageBreakBefore/>
      <w:numPr>
        <w:numId w:val="4"/>
      </w:numPr>
      <w:spacing w:before="360" w:after="240" w:line="240" w:lineRule="auto"/>
      <w:ind w:left="510" w:hanging="510"/>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CB21F9"/>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unhideWhenUsed/>
    <w:qFormat/>
    <w:rsid w:val="00CB21F9"/>
    <w:pPr>
      <w:keepNext/>
      <w:keepLines/>
      <w:spacing w:before="40" w:after="0"/>
      <w:outlineLvl w:val="2"/>
    </w:pPr>
    <w:rPr>
      <w:rFonts w:eastAsiaTheme="majorEastAsia" w:cstheme="majorBidi"/>
      <w:sz w:val="24"/>
      <w:szCs w:val="24"/>
    </w:rPr>
  </w:style>
  <w:style w:type="paragraph" w:styleId="berschrift4">
    <w:name w:val="heading 4"/>
    <w:basedOn w:val="Standard"/>
    <w:next w:val="Standard"/>
    <w:link w:val="berschrift4Zchn"/>
    <w:uiPriority w:val="9"/>
    <w:unhideWhenUsed/>
    <w:qFormat/>
    <w:rsid w:val="00CB21F9"/>
    <w:pPr>
      <w:keepNext/>
      <w:keepLines/>
      <w:spacing w:before="40" w:after="0"/>
      <w:outlineLvl w:val="3"/>
    </w:pPr>
    <w:rPr>
      <w:rFonts w:eastAsiaTheme="majorEastAsia" w:cstheme="majorBidi"/>
      <w:i/>
      <w:iCs/>
    </w:rPr>
  </w:style>
  <w:style w:type="paragraph" w:styleId="berschrift5">
    <w:name w:val="heading 5"/>
    <w:basedOn w:val="Standard"/>
    <w:next w:val="Standard"/>
    <w:link w:val="berschrift5Zchn"/>
    <w:uiPriority w:val="9"/>
    <w:unhideWhenUsed/>
    <w:qFormat/>
    <w:rsid w:val="00CB21F9"/>
    <w:pPr>
      <w:keepNext/>
      <w:keepLines/>
      <w:spacing w:before="40" w:after="0"/>
      <w:outlineLvl w:val="4"/>
    </w:pPr>
    <w:rPr>
      <w:rFonts w:eastAsiaTheme="majorEastAsia" w:cstheme="majorBidi"/>
    </w:rPr>
  </w:style>
  <w:style w:type="character" w:default="1" w:styleId="Absatz-Standardschriftart">
    <w:name w:val="Default Paragraph Font"/>
    <w:uiPriority w:val="1"/>
    <w:semiHidden/>
    <w:unhideWhenUsed/>
    <w:rsid w:val="00CB21F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B21F9"/>
  </w:style>
  <w:style w:type="paragraph" w:styleId="Kopfzeile">
    <w:name w:val="header"/>
    <w:basedOn w:val="Standard"/>
    <w:link w:val="KopfzeileZchn"/>
    <w:uiPriority w:val="99"/>
    <w:unhideWhenUsed/>
    <w:rsid w:val="00CB21F9"/>
    <w:pPr>
      <w:tabs>
        <w:tab w:val="center" w:pos="4536"/>
        <w:tab w:val="right" w:pos="9072"/>
      </w:tabs>
      <w:spacing w:after="0" w:line="240" w:lineRule="auto"/>
    </w:pPr>
    <w:rPr>
      <w:color w:val="595959" w:themeColor="text1" w:themeTint="A6"/>
      <w:sz w:val="20"/>
    </w:rPr>
  </w:style>
  <w:style w:type="character" w:customStyle="1" w:styleId="KopfzeileZchn">
    <w:name w:val="Kopfzeile Zchn"/>
    <w:basedOn w:val="Absatz-Standardschriftart"/>
    <w:link w:val="Kopfzeile"/>
    <w:uiPriority w:val="99"/>
    <w:rsid w:val="00CB21F9"/>
    <w:rPr>
      <w:rFonts w:ascii="Arial" w:hAnsi="Arial"/>
      <w:color w:val="595959" w:themeColor="text1" w:themeTint="A6"/>
      <w:sz w:val="20"/>
    </w:rPr>
  </w:style>
  <w:style w:type="paragraph" w:styleId="Fuzeile">
    <w:name w:val="footer"/>
    <w:basedOn w:val="Standard"/>
    <w:link w:val="FuzeileZchn"/>
    <w:autoRedefine/>
    <w:uiPriority w:val="99"/>
    <w:unhideWhenUsed/>
    <w:rsid w:val="00CB21F9"/>
    <w:pPr>
      <w:tabs>
        <w:tab w:val="center" w:pos="4536"/>
        <w:tab w:val="right" w:pos="9072"/>
      </w:tabs>
      <w:spacing w:before="120" w:after="120" w:line="240" w:lineRule="auto"/>
    </w:pPr>
    <w:rPr>
      <w:color w:val="404040" w:themeColor="text1" w:themeTint="BF"/>
    </w:rPr>
  </w:style>
  <w:style w:type="character" w:customStyle="1" w:styleId="FuzeileZchn">
    <w:name w:val="Fußzeile Zchn"/>
    <w:basedOn w:val="Absatz-Standardschriftart"/>
    <w:link w:val="Fuzeile"/>
    <w:uiPriority w:val="99"/>
    <w:rsid w:val="00CB21F9"/>
    <w:rPr>
      <w:rFonts w:ascii="Arial" w:hAnsi="Arial"/>
      <w:color w:val="404040" w:themeColor="text1" w:themeTint="BF"/>
    </w:rPr>
  </w:style>
  <w:style w:type="character" w:customStyle="1" w:styleId="berschrift5Zchn">
    <w:name w:val="Überschrift 5 Zchn"/>
    <w:basedOn w:val="Absatz-Standardschriftart"/>
    <w:link w:val="berschrift5"/>
    <w:uiPriority w:val="9"/>
    <w:rsid w:val="00CB21F9"/>
    <w:rPr>
      <w:rFonts w:ascii="Arial" w:eastAsiaTheme="majorEastAsia" w:hAnsi="Arial" w:cstheme="majorBidi"/>
    </w:rPr>
  </w:style>
  <w:style w:type="paragraph" w:styleId="Titel">
    <w:name w:val="Title"/>
    <w:basedOn w:val="Standard"/>
    <w:next w:val="Standard"/>
    <w:link w:val="TitelZchn"/>
    <w:autoRedefine/>
    <w:uiPriority w:val="10"/>
    <w:qFormat/>
    <w:rsid w:val="00CB21F9"/>
    <w:pPr>
      <w:spacing w:before="960" w:after="240" w:line="240" w:lineRule="auto"/>
      <w:contextualSpacing/>
      <w:jc w:val="center"/>
    </w:pPr>
    <w:rPr>
      <w:rFonts w:eastAsiaTheme="majorEastAsia" w:cstheme="majorBidi"/>
      <w:kern w:val="28"/>
      <w:sz w:val="40"/>
      <w:szCs w:val="56"/>
    </w:rPr>
  </w:style>
  <w:style w:type="character" w:styleId="Hervorhebung">
    <w:name w:val="Emphasis"/>
    <w:basedOn w:val="Absatz-Standardschriftart"/>
    <w:uiPriority w:val="20"/>
    <w:qFormat/>
    <w:rsid w:val="00CB21F9"/>
    <w:rPr>
      <w:i/>
      <w:iCs/>
    </w:rPr>
  </w:style>
  <w:style w:type="character" w:customStyle="1" w:styleId="TitelZchn">
    <w:name w:val="Titel Zchn"/>
    <w:basedOn w:val="Absatz-Standardschriftart"/>
    <w:link w:val="Titel"/>
    <w:uiPriority w:val="10"/>
    <w:rsid w:val="00CB21F9"/>
    <w:rPr>
      <w:rFonts w:ascii="Arial" w:eastAsiaTheme="majorEastAsia" w:hAnsi="Arial" w:cstheme="majorBidi"/>
      <w:kern w:val="28"/>
      <w:sz w:val="40"/>
      <w:szCs w:val="56"/>
    </w:rPr>
  </w:style>
  <w:style w:type="paragraph" w:styleId="Untertitel">
    <w:name w:val="Subtitle"/>
    <w:basedOn w:val="Standard"/>
    <w:next w:val="Standard"/>
    <w:link w:val="UntertitelZchn"/>
    <w:autoRedefine/>
    <w:uiPriority w:val="11"/>
    <w:qFormat/>
    <w:rsid w:val="00CB21F9"/>
    <w:pPr>
      <w:numPr>
        <w:ilvl w:val="1"/>
      </w:numPr>
      <w:spacing w:after="120"/>
      <w:jc w:val="center"/>
    </w:pPr>
    <w:rPr>
      <w:rFonts w:eastAsiaTheme="minorEastAsia"/>
      <w:color w:val="5A5A5A" w:themeColor="text1" w:themeTint="A5"/>
      <w:spacing w:val="15"/>
      <w:sz w:val="28"/>
    </w:rPr>
  </w:style>
  <w:style w:type="character" w:customStyle="1" w:styleId="UntertitelZchn">
    <w:name w:val="Untertitel Zchn"/>
    <w:basedOn w:val="Absatz-Standardschriftart"/>
    <w:link w:val="Untertitel"/>
    <w:uiPriority w:val="11"/>
    <w:rsid w:val="00CB21F9"/>
    <w:rPr>
      <w:rFonts w:ascii="Arial" w:eastAsiaTheme="minorEastAsia" w:hAnsi="Arial"/>
      <w:color w:val="5A5A5A" w:themeColor="text1" w:themeTint="A5"/>
      <w:spacing w:val="15"/>
      <w:sz w:val="28"/>
    </w:rPr>
  </w:style>
  <w:style w:type="paragraph" w:styleId="KeinLeerraum">
    <w:name w:val="No Spacing"/>
    <w:aliases w:val="Standardtext ohne Leerraum zwischen Absätzen"/>
    <w:uiPriority w:val="1"/>
    <w:qFormat/>
    <w:rsid w:val="00CB21F9"/>
    <w:pPr>
      <w:spacing w:after="0" w:line="240" w:lineRule="auto"/>
    </w:pPr>
    <w:rPr>
      <w:rFonts w:ascii="Arial" w:hAnsi="Arial"/>
    </w:rPr>
  </w:style>
  <w:style w:type="character" w:customStyle="1" w:styleId="berschrift1Zchn">
    <w:name w:val="Überschrift 1 Zchn"/>
    <w:basedOn w:val="Absatz-Standardschriftart"/>
    <w:link w:val="berschrift1"/>
    <w:uiPriority w:val="9"/>
    <w:rsid w:val="00CB21F9"/>
    <w:rPr>
      <w:rFonts w:ascii="Arial" w:eastAsiaTheme="majorEastAsia" w:hAnsi="Arial" w:cstheme="majorBidi"/>
      <w:sz w:val="32"/>
      <w:szCs w:val="32"/>
    </w:rPr>
  </w:style>
  <w:style w:type="character" w:customStyle="1" w:styleId="berschrift2Zchn">
    <w:name w:val="Überschrift 2 Zchn"/>
    <w:basedOn w:val="Absatz-Standardschriftart"/>
    <w:link w:val="berschrift2"/>
    <w:uiPriority w:val="9"/>
    <w:rsid w:val="00CB21F9"/>
    <w:rPr>
      <w:rFonts w:ascii="Arial" w:eastAsiaTheme="majorEastAsia" w:hAnsi="Arial" w:cstheme="majorBidi"/>
      <w:sz w:val="26"/>
      <w:szCs w:val="26"/>
    </w:rPr>
  </w:style>
  <w:style w:type="character" w:customStyle="1" w:styleId="berschrift3Zchn">
    <w:name w:val="Überschrift 3 Zchn"/>
    <w:basedOn w:val="Absatz-Standardschriftart"/>
    <w:link w:val="berschrift3"/>
    <w:uiPriority w:val="9"/>
    <w:rsid w:val="00CB21F9"/>
    <w:rPr>
      <w:rFonts w:ascii="Arial" w:eastAsiaTheme="majorEastAsia" w:hAnsi="Arial" w:cstheme="majorBidi"/>
      <w:sz w:val="24"/>
      <w:szCs w:val="24"/>
    </w:rPr>
  </w:style>
  <w:style w:type="character" w:customStyle="1" w:styleId="berschrift4Zchn">
    <w:name w:val="Überschrift 4 Zchn"/>
    <w:basedOn w:val="Absatz-Standardschriftart"/>
    <w:link w:val="berschrift4"/>
    <w:uiPriority w:val="9"/>
    <w:rsid w:val="00CB21F9"/>
    <w:rPr>
      <w:rFonts w:ascii="Arial" w:eastAsiaTheme="majorEastAsia" w:hAnsi="Arial" w:cstheme="majorBidi"/>
      <w:i/>
      <w:iCs/>
    </w:rPr>
  </w:style>
  <w:style w:type="character" w:styleId="IntensiveHervorhebung">
    <w:name w:val="Intense Emphasis"/>
    <w:basedOn w:val="Absatz-Standardschriftart"/>
    <w:uiPriority w:val="21"/>
    <w:qFormat/>
    <w:rsid w:val="00CB21F9"/>
    <w:rPr>
      <w:i/>
      <w:iCs/>
      <w:color w:val="FF3131"/>
    </w:rPr>
  </w:style>
  <w:style w:type="paragraph" w:styleId="IntensivesZitat">
    <w:name w:val="Intense Quote"/>
    <w:basedOn w:val="Standard"/>
    <w:next w:val="Standard"/>
    <w:link w:val="IntensivesZitatZchn"/>
    <w:uiPriority w:val="30"/>
    <w:qFormat/>
    <w:rsid w:val="00CB21F9"/>
    <w:pPr>
      <w:pBdr>
        <w:top w:val="single" w:sz="4" w:space="10" w:color="FF3131"/>
        <w:bottom w:val="single" w:sz="4" w:space="10" w:color="FF3131"/>
      </w:pBdr>
      <w:spacing w:before="360" w:after="360"/>
      <w:ind w:left="864" w:right="864"/>
      <w:jc w:val="center"/>
    </w:pPr>
    <w:rPr>
      <w:i/>
      <w:iCs/>
      <w:color w:val="FF3131"/>
    </w:rPr>
  </w:style>
  <w:style w:type="character" w:customStyle="1" w:styleId="IntensivesZitatZchn">
    <w:name w:val="Intensives Zitat Zchn"/>
    <w:basedOn w:val="Absatz-Standardschriftart"/>
    <w:link w:val="IntensivesZitat"/>
    <w:uiPriority w:val="30"/>
    <w:rsid w:val="00CB21F9"/>
    <w:rPr>
      <w:rFonts w:ascii="Arial" w:hAnsi="Arial"/>
      <w:i/>
      <w:iCs/>
      <w:color w:val="FF3131"/>
    </w:rPr>
  </w:style>
  <w:style w:type="character" w:styleId="IntensiverVerweis">
    <w:name w:val="Intense Reference"/>
    <w:basedOn w:val="Absatz-Standardschriftart"/>
    <w:uiPriority w:val="32"/>
    <w:qFormat/>
    <w:rsid w:val="00CB21F9"/>
    <w:rPr>
      <w:b/>
      <w:bCs/>
      <w:smallCaps/>
      <w:color w:val="FF3131"/>
      <w:spacing w:val="5"/>
    </w:rPr>
  </w:style>
  <w:style w:type="table" w:styleId="Tabellenraster">
    <w:name w:val="Table Grid"/>
    <w:basedOn w:val="NormaleTabelle"/>
    <w:uiPriority w:val="39"/>
    <w:rsid w:val="00841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Standard"/>
    <w:link w:val="AbstractZchn"/>
    <w:autoRedefine/>
    <w:qFormat/>
    <w:rsid w:val="00CB21F9"/>
    <w:pPr>
      <w:spacing w:after="0"/>
      <w:ind w:left="1134"/>
    </w:pPr>
  </w:style>
  <w:style w:type="paragraph" w:customStyle="1" w:styleId="Literaturhinweisengl">
    <w:name w:val="Literaturhinweis (engl.)"/>
    <w:basedOn w:val="Standard"/>
    <w:link w:val="LiteraturhinweisenglZchn"/>
    <w:autoRedefine/>
    <w:qFormat/>
    <w:rsid w:val="00CB21F9"/>
    <w:pPr>
      <w:pBdr>
        <w:top w:val="single" w:sz="4" w:space="6" w:color="404040" w:themeColor="text1" w:themeTint="BF"/>
      </w:pBdr>
      <w:spacing w:before="240"/>
      <w:ind w:left="284"/>
    </w:pPr>
    <w:rPr>
      <w:lang w:val="en-GB"/>
    </w:rPr>
  </w:style>
  <w:style w:type="character" w:customStyle="1" w:styleId="AbstractZchn">
    <w:name w:val="Abstract Zchn"/>
    <w:basedOn w:val="Absatz-Standardschriftart"/>
    <w:link w:val="Abstract"/>
    <w:rsid w:val="00CB21F9"/>
    <w:rPr>
      <w:rFonts w:ascii="Arial" w:hAnsi="Arial"/>
    </w:rPr>
  </w:style>
  <w:style w:type="character" w:customStyle="1" w:styleId="LiteraturhinweisenglZchn">
    <w:name w:val="Literaturhinweis (engl.) Zchn"/>
    <w:basedOn w:val="Absatz-Standardschriftart"/>
    <w:link w:val="Literaturhinweisengl"/>
    <w:rsid w:val="00CB21F9"/>
    <w:rPr>
      <w:rFonts w:ascii="Arial" w:hAnsi="Arial"/>
      <w:lang w:val="en-GB"/>
    </w:rPr>
  </w:style>
  <w:style w:type="paragraph" w:customStyle="1" w:styleId="SeitenzahlinFuzeile">
    <w:name w:val="Seitenzahl in Fußzeile"/>
    <w:basedOn w:val="Fuzeile"/>
    <w:next w:val="Fuzeile"/>
    <w:link w:val="SeitenzahlinFuzeileZchn"/>
    <w:autoRedefine/>
    <w:qFormat/>
    <w:rsid w:val="00CB21F9"/>
    <w:pPr>
      <w:spacing w:before="240"/>
      <w:ind w:left="-284"/>
      <w:jc w:val="right"/>
    </w:pPr>
  </w:style>
  <w:style w:type="paragraph" w:styleId="Inhaltsverzeichnisberschrift">
    <w:name w:val="TOC Heading"/>
    <w:next w:val="Standard"/>
    <w:autoRedefine/>
    <w:uiPriority w:val="39"/>
    <w:unhideWhenUsed/>
    <w:qFormat/>
    <w:rsid w:val="00CB21F9"/>
    <w:pPr>
      <w:spacing w:before="600"/>
    </w:pPr>
    <w:rPr>
      <w:rFonts w:ascii="Arial" w:eastAsiaTheme="majorEastAsia" w:hAnsi="Arial" w:cstheme="majorBidi"/>
      <w:sz w:val="32"/>
      <w:szCs w:val="32"/>
      <w:lang w:eastAsia="de-DE"/>
    </w:rPr>
  </w:style>
  <w:style w:type="character" w:customStyle="1" w:styleId="SeitenzahlinFuzeileZchn">
    <w:name w:val="Seitenzahl in Fußzeile Zchn"/>
    <w:basedOn w:val="FuzeileZchn"/>
    <w:link w:val="SeitenzahlinFuzeile"/>
    <w:rsid w:val="00CB21F9"/>
    <w:rPr>
      <w:rFonts w:ascii="Arial" w:hAnsi="Arial"/>
      <w:color w:val="404040" w:themeColor="text1" w:themeTint="BF"/>
    </w:rPr>
  </w:style>
  <w:style w:type="paragraph" w:styleId="Verzeichnis1">
    <w:name w:val="toc 1"/>
    <w:basedOn w:val="Standard"/>
    <w:next w:val="Standard"/>
    <w:autoRedefine/>
    <w:uiPriority w:val="39"/>
    <w:unhideWhenUsed/>
    <w:rsid w:val="00F317B4"/>
    <w:pPr>
      <w:tabs>
        <w:tab w:val="left" w:pos="440"/>
        <w:tab w:val="right" w:leader="dot" w:pos="14134"/>
      </w:tabs>
      <w:spacing w:after="100"/>
    </w:pPr>
  </w:style>
  <w:style w:type="character" w:styleId="Hyperlink">
    <w:name w:val="Hyperlink"/>
    <w:basedOn w:val="Absatz-Standardschriftart"/>
    <w:uiPriority w:val="99"/>
    <w:unhideWhenUsed/>
    <w:rsid w:val="00CB21F9"/>
    <w:rPr>
      <w:color w:val="0563C1" w:themeColor="hyperlink"/>
      <w:u w:val="single"/>
      <w:lang w:val="de-DE"/>
    </w:rPr>
  </w:style>
  <w:style w:type="character" w:styleId="Kommentarzeichen">
    <w:name w:val="annotation reference"/>
    <w:basedOn w:val="Absatz-Standardschriftart"/>
    <w:uiPriority w:val="99"/>
    <w:semiHidden/>
    <w:unhideWhenUsed/>
    <w:rsid w:val="005123F7"/>
    <w:rPr>
      <w:sz w:val="16"/>
      <w:szCs w:val="16"/>
    </w:rPr>
  </w:style>
  <w:style w:type="paragraph" w:styleId="Kommentartext">
    <w:name w:val="annotation text"/>
    <w:basedOn w:val="Standard"/>
    <w:link w:val="KommentartextZchn"/>
    <w:uiPriority w:val="99"/>
    <w:semiHidden/>
    <w:unhideWhenUsed/>
    <w:rsid w:val="005123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23F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123F7"/>
    <w:rPr>
      <w:b/>
      <w:bCs/>
    </w:rPr>
  </w:style>
  <w:style w:type="character" w:customStyle="1" w:styleId="KommentarthemaZchn">
    <w:name w:val="Kommentarthema Zchn"/>
    <w:basedOn w:val="KommentartextZchn"/>
    <w:link w:val="Kommentarthema"/>
    <w:uiPriority w:val="99"/>
    <w:semiHidden/>
    <w:rsid w:val="005123F7"/>
    <w:rPr>
      <w:rFonts w:ascii="Arial" w:hAnsi="Arial"/>
      <w:b/>
      <w:bCs/>
      <w:sz w:val="20"/>
      <w:szCs w:val="20"/>
    </w:rPr>
  </w:style>
  <w:style w:type="paragraph" w:styleId="Sprechblasentext">
    <w:name w:val="Balloon Text"/>
    <w:basedOn w:val="Standard"/>
    <w:link w:val="SprechblasentextZchn"/>
    <w:uiPriority w:val="99"/>
    <w:semiHidden/>
    <w:unhideWhenUsed/>
    <w:rsid w:val="005123F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23F7"/>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1B1451"/>
    <w:rPr>
      <w:color w:val="605E5C"/>
      <w:shd w:val="clear" w:color="auto" w:fill="E1DFDD"/>
    </w:rPr>
  </w:style>
  <w:style w:type="character" w:customStyle="1" w:styleId="field-content">
    <w:name w:val="field-content"/>
    <w:basedOn w:val="Absatz-Standardschriftart"/>
    <w:rsid w:val="00F7069B"/>
  </w:style>
  <w:style w:type="paragraph" w:styleId="berarbeitung">
    <w:name w:val="Revision"/>
    <w:hidden/>
    <w:uiPriority w:val="99"/>
    <w:semiHidden/>
    <w:rsid w:val="00AE5C5E"/>
    <w:pPr>
      <w:spacing w:after="0" w:line="240" w:lineRule="auto"/>
    </w:pPr>
    <w:rPr>
      <w:rFonts w:ascii="Arial" w:hAnsi="Arial"/>
    </w:rPr>
  </w:style>
  <w:style w:type="character" w:customStyle="1" w:styleId="ng-binding">
    <w:name w:val="ng-binding"/>
    <w:basedOn w:val="Absatz-Standardschriftart"/>
    <w:rsid w:val="007D5A91"/>
  </w:style>
  <w:style w:type="character" w:customStyle="1" w:styleId="NichtaufgelsteErwhnung2">
    <w:name w:val="Nicht aufgelöste Erwähnung2"/>
    <w:basedOn w:val="Absatz-Standardschriftart"/>
    <w:uiPriority w:val="99"/>
    <w:semiHidden/>
    <w:unhideWhenUsed/>
    <w:rsid w:val="005324E3"/>
    <w:rPr>
      <w:color w:val="605E5C"/>
      <w:shd w:val="clear" w:color="auto" w:fill="E1DFDD"/>
    </w:rPr>
  </w:style>
  <w:style w:type="paragraph" w:customStyle="1" w:styleId="Literaturhinweisdt">
    <w:name w:val="Literaturhinweis (dt.)"/>
    <w:basedOn w:val="Standard"/>
    <w:next w:val="Abstract"/>
    <w:link w:val="LiteraturhinweisdtZchn"/>
    <w:qFormat/>
    <w:rsid w:val="00CB21F9"/>
    <w:pPr>
      <w:pBdr>
        <w:top w:val="single" w:sz="4" w:space="6" w:color="404040" w:themeColor="text1" w:themeTint="BF"/>
      </w:pBdr>
      <w:spacing w:before="240"/>
      <w:ind w:left="284"/>
    </w:pPr>
  </w:style>
  <w:style w:type="character" w:customStyle="1" w:styleId="LiteraturhinweisdtZchn">
    <w:name w:val="Literaturhinweis (dt.) Zchn"/>
    <w:basedOn w:val="Absatz-Standardschriftart"/>
    <w:link w:val="Literaturhinweisdt"/>
    <w:rsid w:val="00CB21F9"/>
    <w:rPr>
      <w:rFonts w:ascii="Arial" w:hAnsi="Arial"/>
    </w:rPr>
  </w:style>
  <w:style w:type="paragraph" w:customStyle="1" w:styleId="Literaturhinweis">
    <w:name w:val="Literaturhinweis"/>
    <w:basedOn w:val="Standard"/>
    <w:link w:val="LiteraturhinweisZchn"/>
    <w:autoRedefine/>
    <w:qFormat/>
    <w:rsid w:val="00CB21F9"/>
    <w:pPr>
      <w:pBdr>
        <w:top w:val="single" w:sz="4" w:space="3" w:color="404040" w:themeColor="text1" w:themeTint="BF"/>
      </w:pBdr>
      <w:spacing w:before="120"/>
      <w:ind w:left="284"/>
    </w:pPr>
    <w:rPr>
      <w:lang w:val="en-GB"/>
    </w:rPr>
  </w:style>
  <w:style w:type="character" w:customStyle="1" w:styleId="LiteraturhinweisZchn">
    <w:name w:val="Literaturhinweis Zchn"/>
    <w:basedOn w:val="Absatz-Standardschriftart"/>
    <w:link w:val="Literaturhinweis"/>
    <w:rsid w:val="00CB21F9"/>
    <w:rPr>
      <w:rFonts w:ascii="Arial" w:hAnsi="Arial"/>
      <w:lang w:val="en-GB"/>
    </w:rPr>
  </w:style>
  <w:style w:type="paragraph" w:customStyle="1" w:styleId="Einleitung">
    <w:name w:val="Einleitung"/>
    <w:basedOn w:val="Standard"/>
    <w:link w:val="EinleitungZchn"/>
    <w:qFormat/>
    <w:rsid w:val="00CB21F9"/>
    <w:pPr>
      <w:spacing w:before="840" w:after="360"/>
      <w:ind w:left="1134" w:right="1134"/>
      <w:contextualSpacing/>
      <w:jc w:val="both"/>
    </w:pPr>
    <w:rPr>
      <w:i/>
      <w:sz w:val="24"/>
    </w:rPr>
  </w:style>
  <w:style w:type="character" w:styleId="NichtaufgelsteErwhnung">
    <w:name w:val="Unresolved Mention"/>
    <w:basedOn w:val="Absatz-Standardschriftart"/>
    <w:uiPriority w:val="99"/>
    <w:semiHidden/>
    <w:unhideWhenUsed/>
    <w:rsid w:val="0079025D"/>
    <w:rPr>
      <w:color w:val="605E5C"/>
      <w:shd w:val="clear" w:color="auto" w:fill="E1DFDD"/>
    </w:rPr>
  </w:style>
  <w:style w:type="character" w:customStyle="1" w:styleId="EinleitungZchn">
    <w:name w:val="Einleitung Zchn"/>
    <w:basedOn w:val="Absatz-Standardschriftart"/>
    <w:link w:val="Einleitung"/>
    <w:rsid w:val="00CB21F9"/>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fhf2020.de/poster/dokumentation-und-transfer-erfolgreicher-lehr-lernpraxis-wie-geht-das/" TargetMode="External"/><Relationship Id="rId13" Type="http://schemas.openxmlformats.org/officeDocument/2006/relationships/hyperlink" Target="https://www.gfhf2020.de/vortrag/digitale-kompetenzen-studienanfaenge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80/03075079.2019.1688280" TargetMode="External"/><Relationship Id="rId17" Type="http://schemas.openxmlformats.org/officeDocument/2006/relationships/hyperlink" Target="https://www.gfhf2020.de/vortrag/digitalisierte-lehrveranstaltungsevaluation-und-feedback/" TargetMode="External"/><Relationship Id="rId2" Type="http://schemas.openxmlformats.org/officeDocument/2006/relationships/numbering" Target="numbering.xml"/><Relationship Id="rId16" Type="http://schemas.openxmlformats.org/officeDocument/2006/relationships/hyperlink" Target="https://doi.org/10.29007/x9w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anet.org/teaching-learning/faculty/teaching-online" TargetMode="External"/><Relationship Id="rId5" Type="http://schemas.openxmlformats.org/officeDocument/2006/relationships/webSettings" Target="webSettings.xml"/><Relationship Id="rId15" Type="http://schemas.openxmlformats.org/officeDocument/2006/relationships/hyperlink" Target="https://www.gfhf2020.de/workshop/kartierung-von-wirkungs-und-transferpotentialen/" TargetMode="External"/><Relationship Id="rId10" Type="http://schemas.openxmlformats.org/officeDocument/2006/relationships/hyperlink" Target="https://www.nhhl-bibliothek.de/de/handbuch/gliederu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chschulforumdigitalisierung.de/de/blog/3-lehrszenarien" TargetMode="External"/><Relationship Id="rId14" Type="http://schemas.openxmlformats.org/officeDocument/2006/relationships/hyperlink" Target="https://doi.org/10.5282/ubm/epub.3826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us\Documents\Benutzerdefinierte%20Office-Vorlagen\HdHf-Vorlage_Aria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8B5EA-0289-406E-86DF-A7908DE9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HdHf-Vorlage_Arial.dotx</Template>
  <TotalTime>0</TotalTime>
  <Pages>7</Pages>
  <Words>1918</Words>
  <Characters>12085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Forschungsliteratur zum Lehren und Lernen mit digitalen Medien</vt:lpstr>
    </vt:vector>
  </TitlesOfParts>
  <Company>Fakultät 12</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 zum Lehren und Lernen mit digitalen Medien</dc:title>
  <dc:subject/>
  <dc:creator>ZHB</dc:creator>
  <cp:keywords/>
  <dc:description>Diese Datei enthält Literaturhinweise mit kurzen Abstracts zum digitalen Lehren und Lernen</dc:description>
  <cp:lastModifiedBy>andrea</cp:lastModifiedBy>
  <cp:revision>71</cp:revision>
  <cp:lastPrinted>2020-05-08T09:15:00Z</cp:lastPrinted>
  <dcterms:created xsi:type="dcterms:W3CDTF">2020-05-08T16:31:00Z</dcterms:created>
  <dcterms:modified xsi:type="dcterms:W3CDTF">2020-05-18T06:08:00Z</dcterms:modified>
</cp:coreProperties>
</file>